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37CAF" w14:textId="77777777" w:rsidR="000A5DB3" w:rsidRDefault="00000000">
      <w:pPr>
        <w:pStyle w:val="Title"/>
        <w:rPr>
          <w:b/>
          <w:bCs/>
        </w:rPr>
      </w:pPr>
      <w:r>
        <w:rPr>
          <w:b/>
          <w:bCs/>
        </w:rPr>
        <w:t>Instructions:</w:t>
      </w:r>
    </w:p>
    <w:p w14:paraId="5D93299A" w14:textId="77777777" w:rsidR="000A5DB3" w:rsidRDefault="00000000">
      <w:pPr>
        <w:pStyle w:val="ListParagraph"/>
        <w:numPr>
          <w:ilvl w:val="0"/>
          <w:numId w:val="1"/>
        </w:numPr>
        <w:rPr>
          <w:sz w:val="18"/>
          <w:szCs w:val="18"/>
        </w:rPr>
      </w:pPr>
      <w:r>
        <w:rPr>
          <w:sz w:val="18"/>
          <w:szCs w:val="18"/>
        </w:rPr>
        <w:t>After deriving the intrinsic share price based on our model, the next step is to focus on putting together a report with an investment recommendation.</w:t>
      </w:r>
    </w:p>
    <w:p w14:paraId="71AFE597" w14:textId="77777777" w:rsidR="000A5DB3" w:rsidRDefault="00000000">
      <w:pPr>
        <w:pStyle w:val="ListParagraph"/>
        <w:numPr>
          <w:ilvl w:val="0"/>
          <w:numId w:val="1"/>
        </w:numPr>
        <w:rPr>
          <w:sz w:val="18"/>
          <w:szCs w:val="18"/>
        </w:rPr>
      </w:pPr>
      <w:r>
        <w:rPr>
          <w:sz w:val="18"/>
          <w:szCs w:val="18"/>
        </w:rPr>
        <w:t>You are required to fill in the report template below using the sample report attached and your readings on the company’s guidance in terms of key segments and products.</w:t>
      </w:r>
    </w:p>
    <w:p w14:paraId="0407BA3C" w14:textId="77777777" w:rsidR="000A5DB3" w:rsidRDefault="00000000">
      <w:pPr>
        <w:pStyle w:val="ListParagraph"/>
        <w:numPr>
          <w:ilvl w:val="1"/>
          <w:numId w:val="1"/>
        </w:numPr>
        <w:rPr>
          <w:sz w:val="18"/>
          <w:szCs w:val="18"/>
        </w:rPr>
      </w:pPr>
      <w:r>
        <w:rPr>
          <w:sz w:val="18"/>
          <w:szCs w:val="18"/>
        </w:rPr>
        <w:t xml:space="preserve">Identify two to three key products that are vital for the company’s </w:t>
      </w:r>
      <w:proofErr w:type="gramStart"/>
      <w:r>
        <w:rPr>
          <w:sz w:val="18"/>
          <w:szCs w:val="18"/>
        </w:rPr>
        <w:t>growth</w:t>
      </w:r>
      <w:proofErr w:type="gramEnd"/>
      <w:r>
        <w:rPr>
          <w:sz w:val="18"/>
          <w:szCs w:val="18"/>
        </w:rPr>
        <w:t xml:space="preserve"> and you can discuss about the trends and expectations. But remember to keep them all short cause and effect sentences.</w:t>
      </w:r>
    </w:p>
    <w:p w14:paraId="37804453" w14:textId="77777777" w:rsidR="000A5DB3" w:rsidRDefault="00000000">
      <w:pPr>
        <w:pStyle w:val="ListParagraph"/>
        <w:numPr>
          <w:ilvl w:val="0"/>
          <w:numId w:val="1"/>
        </w:numPr>
        <w:rPr>
          <w:sz w:val="18"/>
          <w:szCs w:val="18"/>
        </w:rPr>
      </w:pPr>
      <w:r>
        <w:rPr>
          <w:sz w:val="18"/>
          <w:szCs w:val="18"/>
        </w:rPr>
        <w:t>You can take up to two days for this task and feel free to reach out to me if you have any questions.</w:t>
      </w:r>
    </w:p>
    <w:p w14:paraId="4EC9E44A" w14:textId="77777777" w:rsidR="000A5DB3" w:rsidRDefault="000A5DB3"/>
    <w:p w14:paraId="3247D74E" w14:textId="77777777" w:rsidR="000A5DB3" w:rsidRDefault="00000000">
      <w:r>
        <w:rPr>
          <w:noProof/>
        </w:rPr>
        <w:lastRenderedPageBreak/>
        <mc:AlternateContent>
          <mc:Choice Requires="wps">
            <w:drawing>
              <wp:anchor distT="40005" distB="66675" distL="109220" distR="131445" simplePos="0" relativeHeight="2" behindDoc="0" locked="0" layoutInCell="0" allowOverlap="1" wp14:anchorId="091B9ECF" wp14:editId="03A82C04">
                <wp:simplePos x="0" y="0"/>
                <wp:positionH relativeFrom="margin">
                  <wp:posOffset>2761615</wp:posOffset>
                </wp:positionH>
                <wp:positionV relativeFrom="paragraph">
                  <wp:posOffset>3683635</wp:posOffset>
                </wp:positionV>
                <wp:extent cx="4480560" cy="2562225"/>
                <wp:effectExtent l="5080" t="5715" r="5080" b="4445"/>
                <wp:wrapSquare wrapText="bothSides"/>
                <wp:docPr id="1" name="Text Box 2"/>
                <wp:cNvGraphicFramePr/>
                <a:graphic xmlns:a="http://schemas.openxmlformats.org/drawingml/2006/main">
                  <a:graphicData uri="http://schemas.microsoft.com/office/word/2010/wordprocessingShape">
                    <wps:wsp>
                      <wps:cNvSpPr/>
                      <wps:spPr>
                        <a:xfrm>
                          <a:off x="0" y="0"/>
                          <a:ext cx="4480560" cy="25621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5879E743" w14:textId="77777777" w:rsidR="000A5DB3" w:rsidRDefault="00000000">
                            <w:pPr>
                              <w:pStyle w:val="FrameContents"/>
                            </w:pPr>
                            <w:r>
                              <w:rPr>
                                <w:b/>
                                <w:bCs/>
                                <w:color w:val="000000"/>
                              </w:rPr>
                              <w:t xml:space="preserve">Point 2: </w:t>
                            </w:r>
                            <w:r>
                              <w:rPr>
                                <w:rFonts w:ascii="Verdana" w:hAnsi="Verdana"/>
                                <w:b/>
                                <w:bCs/>
                                <w:color w:val="000000"/>
                                <w:sz w:val="14"/>
                              </w:rPr>
                              <w:t xml:space="preserve">Nike's </w:t>
                            </w:r>
                            <w:r>
                              <w:rPr>
                                <w:rFonts w:ascii="Verdana" w:hAnsi="Verdana"/>
                                <w:bCs/>
                                <w:color w:val="000000"/>
                                <w:sz w:val="14"/>
                              </w:rPr>
                              <w:t>total EBITDA has sustained a Margin of between 14% - 17% every year since 2015 excluding the year of the pandemic.</w:t>
                            </w:r>
                            <w:r>
                              <w:rPr>
                                <w:b/>
                                <w:bCs/>
                                <w:color w:val="000000"/>
                              </w:rPr>
                              <w:br/>
                            </w:r>
                            <w:r>
                              <w:rPr>
                                <w:rFonts w:ascii="Verdana" w:hAnsi="Verdana"/>
                                <w:bCs/>
                                <w:color w:val="000000"/>
                                <w:sz w:val="14"/>
                              </w:rPr>
                              <w:t xml:space="preserve">Of the core segmental regions, </w:t>
                            </w:r>
                            <w:r>
                              <w:rPr>
                                <w:rFonts w:ascii="Verdana" w:hAnsi="Verdana"/>
                                <w:b/>
                                <w:bCs/>
                                <w:color w:val="000000"/>
                                <w:sz w:val="14"/>
                              </w:rPr>
                              <w:t>Greater China</w:t>
                            </w:r>
                            <w:r>
                              <w:rPr>
                                <w:rFonts w:ascii="Verdana" w:hAnsi="Verdana"/>
                                <w:bCs/>
                                <w:color w:val="000000"/>
                                <w:sz w:val="14"/>
                              </w:rPr>
                              <w:t xml:space="preserve"> has the stand out performance with an EBITDA ranging between 32% - 39% every year since 2015 with the majority being in the high 30's range.</w:t>
                            </w:r>
                            <w:r>
                              <w:rPr>
                                <w:b/>
                                <w:bCs/>
                                <w:color w:val="000000"/>
                              </w:rPr>
                              <w:br/>
                            </w:r>
                            <w:r>
                              <w:rPr>
                                <w:rFonts w:ascii="Verdana" w:hAnsi="Verdana"/>
                                <w:b/>
                                <w:bCs/>
                                <w:color w:val="000000"/>
                                <w:sz w:val="14"/>
                              </w:rPr>
                              <w:t>North America</w:t>
                            </w:r>
                            <w:r>
                              <w:rPr>
                                <w:rFonts w:ascii="Verdana" w:hAnsi="Verdana"/>
                                <w:bCs/>
                                <w:color w:val="000000"/>
                                <w:sz w:val="14"/>
                              </w:rPr>
                              <w:t xml:space="preserve"> being Nikes core driver of revenue recorded consistent EBITDA's year on year all between 25% - 30%.</w:t>
                            </w:r>
                            <w:r>
                              <w:rPr>
                                <w:b/>
                                <w:bCs/>
                                <w:color w:val="000000"/>
                              </w:rPr>
                              <w:br/>
                            </w:r>
                            <w:r>
                              <w:rPr>
                                <w:rFonts w:ascii="Verdana" w:hAnsi="Verdana"/>
                                <w:b/>
                                <w:bCs/>
                                <w:color w:val="000000"/>
                                <w:sz w:val="14"/>
                              </w:rPr>
                              <w:t>Europe, middle East and Africa</w:t>
                            </w:r>
                            <w:r>
                              <w:rPr>
                                <w:rFonts w:ascii="Verdana" w:hAnsi="Verdana"/>
                                <w:bCs/>
                                <w:color w:val="000000"/>
                                <w:sz w:val="14"/>
                              </w:rPr>
                              <w:t xml:space="preserve"> the second largest driver of revenue has ranged between 20% - 27.5%, 27.5% being the latest and highest EBITDA recorded in 2022</w:t>
                            </w:r>
                            <w:r>
                              <w:rPr>
                                <w:b/>
                                <w:bCs/>
                                <w:color w:val="000000"/>
                              </w:rPr>
                              <w:br/>
                            </w:r>
                            <w:r>
                              <w:rPr>
                                <w:rFonts w:ascii="Verdana" w:hAnsi="Verdana"/>
                                <w:b/>
                                <w:bCs/>
                                <w:color w:val="000000"/>
                                <w:sz w:val="14"/>
                              </w:rPr>
                              <w:t>Asia Pacific &amp; Latin America</w:t>
                            </w:r>
                            <w:r>
                              <w:rPr>
                                <w:rFonts w:ascii="Verdana" w:hAnsi="Verdana"/>
                                <w:bCs/>
                                <w:color w:val="000000"/>
                                <w:sz w:val="14"/>
                              </w:rPr>
                              <w:t xml:space="preserve"> ranges between 21% - 32.5%, however a clear increasing trend since 2017 is present with 2022 also being the highest EBITDA at 32.5%.</w:t>
                            </w:r>
                            <w:r>
                              <w:rPr>
                                <w:b/>
                                <w:bCs/>
                                <w:color w:val="000000"/>
                              </w:rPr>
                              <w:br/>
                            </w:r>
                            <w:r>
                              <w:rPr>
                                <w:rFonts w:ascii="Verdana" w:hAnsi="Verdana"/>
                                <w:b/>
                                <w:bCs/>
                                <w:color w:val="000000"/>
                                <w:sz w:val="14"/>
                              </w:rPr>
                              <w:t>Converse</w:t>
                            </w:r>
                            <w:r>
                              <w:rPr>
                                <w:rFonts w:ascii="Verdana" w:hAnsi="Verdana"/>
                                <w:bCs/>
                                <w:color w:val="000000"/>
                                <w:sz w:val="14"/>
                              </w:rPr>
                              <w:t xml:space="preserve"> is also showing improvements with 2022's EBITDA at 29.5%, its highest since 2015.</w:t>
                            </w:r>
                            <w:r>
                              <w:rPr>
                                <w:b/>
                                <w:bCs/>
                                <w:color w:val="000000"/>
                              </w:rPr>
                              <w:br/>
                            </w:r>
                            <w:r>
                              <w:rPr>
                                <w:rFonts w:ascii="Verdana" w:hAnsi="Verdana"/>
                                <w:b/>
                                <w:bCs/>
                                <w:color w:val="000000"/>
                                <w:sz w:val="14"/>
                              </w:rPr>
                              <w:t>Global brands and corporate</w:t>
                            </w:r>
                            <w:r>
                              <w:rPr>
                                <w:rFonts w:ascii="Verdana" w:hAnsi="Verdana"/>
                                <w:bCs/>
                                <w:color w:val="000000"/>
                                <w:sz w:val="14"/>
                              </w:rPr>
                              <w:t xml:space="preserve"> are showing high percentile negative EBITDA's as </w:t>
                            </w:r>
                            <w:proofErr w:type="spellStart"/>
                            <w:r>
                              <w:rPr>
                                <w:rFonts w:ascii="Verdana" w:hAnsi="Verdana"/>
                                <w:bCs/>
                                <w:color w:val="000000"/>
                                <w:sz w:val="14"/>
                              </w:rPr>
                              <w:t>through out</w:t>
                            </w:r>
                            <w:proofErr w:type="spellEnd"/>
                            <w:r>
                              <w:rPr>
                                <w:rFonts w:ascii="Verdana" w:hAnsi="Verdana"/>
                                <w:bCs/>
                                <w:color w:val="000000"/>
                                <w:sz w:val="14"/>
                              </w:rPr>
                              <w:t xml:space="preserve"> all years but increasing in a stable, gradual trend in line with overall revenue.</w:t>
                            </w:r>
                            <w:r>
                              <w:rPr>
                                <w:b/>
                                <w:bCs/>
                                <w:color w:val="000000"/>
                              </w:rPr>
                              <w:br/>
                            </w:r>
                            <w:r>
                              <w:rPr>
                                <w:rFonts w:ascii="Verdana" w:hAnsi="Verdana"/>
                                <w:bCs/>
                                <w:color w:val="000000"/>
                                <w:sz w:val="14"/>
                              </w:rPr>
                              <w:t>Overall margin has been very consistent with evidence to support the coming years improving further due to all regions simultaneously showing similar improvements setting new highs in 2021- 2022.</w:t>
                            </w:r>
                            <w:r>
                              <w:rPr>
                                <w:b/>
                                <w:bCs/>
                                <w:color w:val="000000"/>
                              </w:rPr>
                              <w:br/>
                            </w:r>
                            <w:r>
                              <w:rPr>
                                <w:b/>
                                <w:bCs/>
                                <w:color w:val="000000"/>
                              </w:rPr>
                              <w:br/>
                            </w:r>
                          </w:p>
                          <w:p w14:paraId="57A9D52C" w14:textId="77777777" w:rsidR="000A5DB3" w:rsidRDefault="000A5DB3">
                            <w:pPr>
                              <w:pStyle w:val="FrameContents"/>
                            </w:pPr>
                          </w:p>
                        </w:txbxContent>
                      </wps:txbx>
                      <wps:bodyPr anchor="t">
                        <a:noAutofit/>
                      </wps:bodyPr>
                    </wps:wsp>
                  </a:graphicData>
                </a:graphic>
              </wp:anchor>
            </w:drawing>
          </mc:Choice>
          <mc:Fallback>
            <w:pict>
              <v:rect id="shape_0" ID="Text Box 2" path="m0,0l-2147483645,0l-2147483645,-2147483646l0,-2147483646xe" fillcolor="white" stroked="t" o:allowincell="f" style="position:absolute;margin-left:217.45pt;margin-top:290.05pt;width:352.75pt;height:201.7pt;mso-wrap-style:square;v-text-anchor:top;mso-position-horizontal-relative:margin">
                <v:fill o:detectmouseclick="t" type="solid" color2="black"/>
                <v:stroke color="black" weight="9360" joinstyle="miter" endcap="flat"/>
                <v:textbox>
                  <w:txbxContent>
                    <w:p>
                      <w:pPr>
                        <w:pStyle w:val="FrameContents"/>
                        <w:rPr/>
                      </w:pPr>
                      <w:r>
                        <w:rPr>
                          <w:b/>
                          <w:bCs/>
                          <w:color w:val="000000"/>
                        </w:rPr>
                        <w:t xml:space="preserve">Point 2: </w:t>
                      </w:r>
                      <w:r>
                        <w:rPr>
                          <w:rFonts w:ascii="Verdana" w:hAnsi="Verdana"/>
                          <w:b/>
                          <w:bCs/>
                          <w:i w:val="false"/>
                          <w:caps w:val="false"/>
                          <w:smallCaps w:val="false"/>
                          <w:color w:val="000000"/>
                          <w:spacing w:val="0"/>
                          <w:sz w:val="14"/>
                        </w:rPr>
                        <w:t xml:space="preserve">Nike's </w:t>
                      </w:r>
                      <w:r>
                        <w:rPr>
                          <w:rFonts w:ascii="Verdana" w:hAnsi="Verdana"/>
                          <w:b w:val="false"/>
                          <w:bCs/>
                          <w:i w:val="false"/>
                          <w:caps w:val="false"/>
                          <w:smallCaps w:val="false"/>
                          <w:color w:val="000000"/>
                          <w:spacing w:val="0"/>
                          <w:sz w:val="14"/>
                        </w:rPr>
                        <w:t>total EBITDA has sustained a Margin of between 14% - 17% every year since 2015 excluding the year of the pandemic.</w:t>
                      </w:r>
                      <w:r>
                        <w:rPr>
                          <w:b/>
                          <w:bCs/>
                          <w:color w:val="000000"/>
                        </w:rPr>
                        <w:br/>
                      </w:r>
                      <w:r>
                        <w:rPr>
                          <w:rFonts w:ascii="Verdana" w:hAnsi="Verdana"/>
                          <w:b w:val="false"/>
                          <w:bCs/>
                          <w:i w:val="false"/>
                          <w:caps w:val="false"/>
                          <w:smallCaps w:val="false"/>
                          <w:color w:val="000000"/>
                          <w:spacing w:val="0"/>
                          <w:sz w:val="14"/>
                        </w:rPr>
                        <w:t xml:space="preserve">Of the core segmental regions, </w:t>
                      </w:r>
                      <w:r>
                        <w:rPr>
                          <w:rFonts w:ascii="Verdana" w:hAnsi="Verdana"/>
                          <w:b/>
                          <w:bCs/>
                          <w:i w:val="false"/>
                          <w:caps w:val="false"/>
                          <w:smallCaps w:val="false"/>
                          <w:color w:val="000000"/>
                          <w:spacing w:val="0"/>
                          <w:sz w:val="14"/>
                        </w:rPr>
                        <w:t>Greater China</w:t>
                      </w:r>
                      <w:r>
                        <w:rPr>
                          <w:rFonts w:ascii="Verdana" w:hAnsi="Verdana"/>
                          <w:b w:val="false"/>
                          <w:bCs/>
                          <w:i w:val="false"/>
                          <w:caps w:val="false"/>
                          <w:smallCaps w:val="false"/>
                          <w:color w:val="000000"/>
                          <w:spacing w:val="0"/>
                          <w:sz w:val="14"/>
                        </w:rPr>
                        <w:t xml:space="preserve"> has the stand out performance with an EBITDA ranging between 32% - 39% every year since 2015 with the majority being in the high 30's range.</w:t>
                      </w:r>
                      <w:r>
                        <w:rPr>
                          <w:b/>
                          <w:bCs/>
                          <w:color w:val="000000"/>
                        </w:rPr>
                        <w:br/>
                      </w:r>
                      <w:r>
                        <w:rPr>
                          <w:rFonts w:ascii="Verdana" w:hAnsi="Verdana"/>
                          <w:b/>
                          <w:bCs/>
                          <w:i w:val="false"/>
                          <w:caps w:val="false"/>
                          <w:smallCaps w:val="false"/>
                          <w:color w:val="000000"/>
                          <w:spacing w:val="0"/>
                          <w:sz w:val="14"/>
                        </w:rPr>
                        <w:t>North America</w:t>
                      </w:r>
                      <w:r>
                        <w:rPr>
                          <w:rFonts w:ascii="Verdana" w:hAnsi="Verdana"/>
                          <w:b w:val="false"/>
                          <w:bCs/>
                          <w:i w:val="false"/>
                          <w:caps w:val="false"/>
                          <w:smallCaps w:val="false"/>
                          <w:color w:val="000000"/>
                          <w:spacing w:val="0"/>
                          <w:sz w:val="14"/>
                        </w:rPr>
                        <w:t xml:space="preserve"> being Nikes core driver of revenue recorded consistent EBITDA's year on year all between 25% - 30%.</w:t>
                      </w:r>
                      <w:r>
                        <w:rPr>
                          <w:b/>
                          <w:bCs/>
                          <w:color w:val="000000"/>
                        </w:rPr>
                        <w:br/>
                      </w:r>
                      <w:r>
                        <w:rPr>
                          <w:rFonts w:ascii="Verdana" w:hAnsi="Verdana"/>
                          <w:b/>
                          <w:bCs/>
                          <w:i w:val="false"/>
                          <w:caps w:val="false"/>
                          <w:smallCaps w:val="false"/>
                          <w:color w:val="000000"/>
                          <w:spacing w:val="0"/>
                          <w:sz w:val="14"/>
                        </w:rPr>
                        <w:t>Europe, middle East and Africa</w:t>
                      </w:r>
                      <w:r>
                        <w:rPr>
                          <w:rFonts w:ascii="Verdana" w:hAnsi="Verdana"/>
                          <w:b w:val="false"/>
                          <w:bCs/>
                          <w:i w:val="false"/>
                          <w:caps w:val="false"/>
                          <w:smallCaps w:val="false"/>
                          <w:color w:val="000000"/>
                          <w:spacing w:val="0"/>
                          <w:sz w:val="14"/>
                        </w:rPr>
                        <w:t xml:space="preserve"> the second largest driver of revenue has ranged between 20% - 27.5%, 27.5% being the latest and highest EBITDA recorded in 2022</w:t>
                      </w:r>
                      <w:r>
                        <w:rPr>
                          <w:b/>
                          <w:bCs/>
                          <w:color w:val="000000"/>
                        </w:rPr>
                        <w:br/>
                      </w:r>
                      <w:r>
                        <w:rPr>
                          <w:rFonts w:ascii="Verdana" w:hAnsi="Verdana"/>
                          <w:b/>
                          <w:bCs/>
                          <w:i w:val="false"/>
                          <w:caps w:val="false"/>
                          <w:smallCaps w:val="false"/>
                          <w:color w:val="000000"/>
                          <w:spacing w:val="0"/>
                          <w:sz w:val="14"/>
                        </w:rPr>
                        <w:t>Asia Pacific &amp; Latin America</w:t>
                      </w:r>
                      <w:r>
                        <w:rPr>
                          <w:rFonts w:ascii="Verdana" w:hAnsi="Verdana"/>
                          <w:b w:val="false"/>
                          <w:bCs/>
                          <w:i w:val="false"/>
                          <w:caps w:val="false"/>
                          <w:smallCaps w:val="false"/>
                          <w:color w:val="000000"/>
                          <w:spacing w:val="0"/>
                          <w:sz w:val="14"/>
                        </w:rPr>
                        <w:t xml:space="preserve"> ranges between 21% - 32.5%, however a clear increasing trend since 2017 is present with 2022 also being the highest EBITDA at 32.5%.</w:t>
                      </w:r>
                      <w:r>
                        <w:rPr>
                          <w:b/>
                          <w:bCs/>
                          <w:color w:val="000000"/>
                        </w:rPr>
                        <w:br/>
                      </w:r>
                      <w:r>
                        <w:rPr>
                          <w:rFonts w:ascii="Verdana" w:hAnsi="Verdana"/>
                          <w:b/>
                          <w:bCs/>
                          <w:i w:val="false"/>
                          <w:caps w:val="false"/>
                          <w:smallCaps w:val="false"/>
                          <w:color w:val="000000"/>
                          <w:spacing w:val="0"/>
                          <w:sz w:val="14"/>
                        </w:rPr>
                        <w:t>Converse</w:t>
                      </w:r>
                      <w:r>
                        <w:rPr>
                          <w:rFonts w:ascii="Verdana" w:hAnsi="Verdana"/>
                          <w:b w:val="false"/>
                          <w:bCs/>
                          <w:i w:val="false"/>
                          <w:caps w:val="false"/>
                          <w:smallCaps w:val="false"/>
                          <w:color w:val="000000"/>
                          <w:spacing w:val="0"/>
                          <w:sz w:val="14"/>
                        </w:rPr>
                        <w:t xml:space="preserve"> is also showing improvements with 2022's EBITDA at 29.5%, its highest since 2015.</w:t>
                      </w:r>
                      <w:r>
                        <w:rPr>
                          <w:b/>
                          <w:bCs/>
                          <w:color w:val="000000"/>
                        </w:rPr>
                        <w:br/>
                      </w:r>
                      <w:r>
                        <w:rPr>
                          <w:rFonts w:ascii="Verdana" w:hAnsi="Verdana"/>
                          <w:b/>
                          <w:bCs/>
                          <w:i w:val="false"/>
                          <w:caps w:val="false"/>
                          <w:smallCaps w:val="false"/>
                          <w:color w:val="000000"/>
                          <w:spacing w:val="0"/>
                          <w:sz w:val="14"/>
                        </w:rPr>
                        <w:t>Global brands and corporate</w:t>
                      </w:r>
                      <w:r>
                        <w:rPr>
                          <w:rFonts w:ascii="Verdana" w:hAnsi="Verdana"/>
                          <w:b w:val="false"/>
                          <w:bCs/>
                          <w:i w:val="false"/>
                          <w:caps w:val="false"/>
                          <w:smallCaps w:val="false"/>
                          <w:color w:val="000000"/>
                          <w:spacing w:val="0"/>
                          <w:sz w:val="14"/>
                        </w:rPr>
                        <w:t xml:space="preserve"> are showing high percentile negative EBITDA's as through out all years but increasing in a stable, gradual trend in line with overall revenue.</w:t>
                      </w:r>
                      <w:r>
                        <w:rPr>
                          <w:b/>
                          <w:bCs/>
                          <w:color w:val="000000"/>
                        </w:rPr>
                        <w:br/>
                      </w:r>
                      <w:r>
                        <w:rPr>
                          <w:rFonts w:ascii="Verdana" w:hAnsi="Verdana"/>
                          <w:b w:val="false"/>
                          <w:bCs/>
                          <w:i w:val="false"/>
                          <w:caps w:val="false"/>
                          <w:smallCaps w:val="false"/>
                          <w:color w:val="000000"/>
                          <w:spacing w:val="0"/>
                          <w:sz w:val="14"/>
                        </w:rPr>
                        <w:t>Overall margin has been very consistent with evidence to support the coming years improving further due to all regions simultaneously showing similar improvements setting new highs in 2021- 2022.</w:t>
                      </w:r>
                      <w:r>
                        <w:rPr>
                          <w:b/>
                          <w:bCs/>
                          <w:color w:val="000000"/>
                        </w:rPr>
                        <w:br/>
                        <w:br/>
                      </w:r>
                    </w:p>
                    <w:p>
                      <w:pPr>
                        <w:pStyle w:val="FrameContents"/>
                        <w:spacing w:before="0" w:after="160"/>
                        <w:rPr/>
                      </w:pPr>
                      <w:r>
                        <w:rPr/>
                      </w:r>
                    </w:p>
                  </w:txbxContent>
                </v:textbox>
                <w10:wrap type="square"/>
              </v:rect>
            </w:pict>
          </mc:Fallback>
        </mc:AlternateContent>
      </w:r>
      <w:r>
        <w:rPr>
          <w:noProof/>
        </w:rPr>
        <mc:AlternateContent>
          <mc:Choice Requires="wps">
            <w:drawing>
              <wp:anchor distT="40005" distB="55880" distL="109220" distR="135255" simplePos="0" relativeHeight="4" behindDoc="0" locked="0" layoutInCell="0" allowOverlap="1" wp14:anchorId="65AD4D7F" wp14:editId="4482FC3E">
                <wp:simplePos x="0" y="0"/>
                <wp:positionH relativeFrom="margin">
                  <wp:posOffset>2761615</wp:posOffset>
                </wp:positionH>
                <wp:positionV relativeFrom="paragraph">
                  <wp:posOffset>5833110</wp:posOffset>
                </wp:positionV>
                <wp:extent cx="4486910" cy="1863725"/>
                <wp:effectExtent l="5080" t="5715" r="5080" b="4445"/>
                <wp:wrapSquare wrapText="bothSides"/>
                <wp:docPr id="3" name="Text Box 3"/>
                <wp:cNvGraphicFramePr/>
                <a:graphic xmlns:a="http://schemas.openxmlformats.org/drawingml/2006/main">
                  <a:graphicData uri="http://schemas.microsoft.com/office/word/2010/wordprocessingShape">
                    <wps:wsp>
                      <wps:cNvSpPr/>
                      <wps:spPr>
                        <a:xfrm>
                          <a:off x="0" y="0"/>
                          <a:ext cx="4487040" cy="18637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7770453E" w14:textId="77777777" w:rsidR="000A5DB3" w:rsidRDefault="00000000">
                            <w:pPr>
                              <w:pStyle w:val="FrameContents"/>
                              <w:spacing w:after="0" w:line="240" w:lineRule="auto"/>
                              <w:rPr>
                                <w:color w:val="000000"/>
                                <w:sz w:val="20"/>
                                <w:szCs w:val="20"/>
                              </w:rPr>
                            </w:pPr>
                            <w:r>
                              <w:rPr>
                                <w:b/>
                                <w:bCs/>
                                <w:color w:val="000000"/>
                                <w:sz w:val="20"/>
                                <w:szCs w:val="20"/>
                              </w:rPr>
                              <w:t>Point 3:</w:t>
                            </w:r>
                          </w:p>
                          <w:p w14:paraId="291D47B9" w14:textId="77777777" w:rsidR="000A5DB3" w:rsidRDefault="00000000">
                            <w:pPr>
                              <w:pStyle w:val="FrameContents"/>
                              <w:spacing w:after="0" w:line="240" w:lineRule="auto"/>
                              <w:rPr>
                                <w:color w:val="000000"/>
                              </w:rPr>
                            </w:pPr>
                            <w:r>
                              <w:rPr>
                                <w:rFonts w:ascii="Verdana" w:hAnsi="Verdana"/>
                                <w:b/>
                                <w:bCs/>
                                <w:color w:val="000000"/>
                                <w:sz w:val="14"/>
                              </w:rPr>
                              <w:t>EPS,</w:t>
                            </w:r>
                            <w:r>
                              <w:rPr>
                                <w:rFonts w:ascii="Verdana" w:hAnsi="Verdana"/>
                                <w:color w:val="000000"/>
                                <w:sz w:val="14"/>
                              </w:rPr>
                              <w:t xml:space="preserve"> continually rising with sharp increases in 2021. The company's plans to increase its share count in the coming years should continue to effect EPS positively looking forward.</w:t>
                            </w:r>
                          </w:p>
                          <w:p w14:paraId="635542C5" w14:textId="77777777" w:rsidR="000A5DB3" w:rsidRDefault="00000000">
                            <w:pPr>
                              <w:spacing w:after="0" w:line="240" w:lineRule="auto"/>
                            </w:pPr>
                            <w:r>
                              <w:rPr>
                                <w:rFonts w:ascii="Verdana" w:hAnsi="Verdana"/>
                                <w:b/>
                                <w:bCs/>
                                <w:color w:val="000000"/>
                                <w:sz w:val="14"/>
                              </w:rPr>
                              <w:t>Capex</w:t>
                            </w:r>
                            <w:r>
                              <w:rPr>
                                <w:rFonts w:ascii="Verdana" w:hAnsi="Verdana"/>
                                <w:color w:val="000000"/>
                                <w:sz w:val="14"/>
                              </w:rPr>
                              <w:t xml:space="preserve"> was gradually increasing until 2019, where the past few years have seen a significant and impressive decrease, a lower Capex in 2021 and 2022, than in 2015. Potential to rise gradually in coming years but to remain at lower levels is probable, due to consistent Capex performance across all segments implying a genuine </w:t>
                            </w:r>
                            <w:proofErr w:type="gramStart"/>
                            <w:r>
                              <w:rPr>
                                <w:rFonts w:ascii="Verdana" w:hAnsi="Verdana"/>
                                <w:color w:val="000000"/>
                                <w:sz w:val="14"/>
                              </w:rPr>
                              <w:t>all around</w:t>
                            </w:r>
                            <w:proofErr w:type="gramEnd"/>
                            <w:r>
                              <w:rPr>
                                <w:rFonts w:ascii="Verdana" w:hAnsi="Verdana"/>
                                <w:color w:val="000000"/>
                                <w:sz w:val="14"/>
                              </w:rPr>
                              <w:t xml:space="preserve"> sustainable improvement throughout the company.</w:t>
                            </w:r>
                            <w:r>
                              <w:rPr>
                                <w:color w:val="000000"/>
                              </w:rPr>
                              <w:br/>
                            </w:r>
                            <w:r>
                              <w:rPr>
                                <w:rFonts w:ascii="Verdana" w:hAnsi="Verdana"/>
                                <w:b/>
                                <w:bCs/>
                                <w:color w:val="000000"/>
                                <w:sz w:val="14"/>
                              </w:rPr>
                              <w:t>FCFF</w:t>
                            </w:r>
                            <w:r>
                              <w:rPr>
                                <w:rFonts w:ascii="Verdana" w:hAnsi="Verdana"/>
                                <w:color w:val="000000"/>
                                <w:sz w:val="14"/>
                              </w:rPr>
                              <w:t xml:space="preserve"> is currently around 20% 25% of </w:t>
                            </w:r>
                            <w:proofErr w:type="spellStart"/>
                            <w:r>
                              <w:rPr>
                                <w:rFonts w:ascii="Verdana" w:hAnsi="Verdana"/>
                                <w:color w:val="000000"/>
                                <w:sz w:val="14"/>
                              </w:rPr>
                              <w:t>it</w:t>
                            </w:r>
                            <w:proofErr w:type="spellEnd"/>
                            <w:r>
                              <w:rPr>
                                <w:rFonts w:ascii="Verdana" w:hAnsi="Verdana"/>
                                <w:color w:val="000000"/>
                                <w:sz w:val="14"/>
                              </w:rPr>
                              <w:t xml:space="preserve"> current debt. Debt has also been growing since 2015 but has not increased further in the past 4 years.</w:t>
                            </w:r>
                            <w:r>
                              <w:rPr>
                                <w:color w:val="000000"/>
                              </w:rPr>
                              <w:br/>
                            </w:r>
                            <w:r>
                              <w:rPr>
                                <w:rFonts w:ascii="Verdana" w:hAnsi="Verdana"/>
                                <w:color w:val="000000"/>
                                <w:sz w:val="14"/>
                              </w:rPr>
                              <w:t>FCFF is around 5'000 billion, a decrease of 2'000 billion from the prior year. An increase in FCFF and decrease in debt would be desirable.</w:t>
                            </w:r>
                            <w:r>
                              <w:rPr>
                                <w:color w:val="000000"/>
                              </w:rPr>
                              <w:br/>
                            </w:r>
                            <w:r>
                              <w:rPr>
                                <w:rFonts w:ascii="Verdana" w:hAnsi="Verdana"/>
                                <w:color w:val="000000"/>
                                <w:sz w:val="14"/>
                              </w:rPr>
                              <w:t xml:space="preserve">Further loans to acquire shares have been taken, uncertainty remains as to the reduction of debt. </w:t>
                            </w:r>
                            <w:proofErr w:type="gramStart"/>
                            <w:r>
                              <w:rPr>
                                <w:rFonts w:ascii="Verdana" w:hAnsi="Verdana"/>
                                <w:color w:val="000000"/>
                                <w:sz w:val="14"/>
                              </w:rPr>
                              <w:t>However</w:t>
                            </w:r>
                            <w:proofErr w:type="gramEnd"/>
                            <w:r>
                              <w:rPr>
                                <w:rFonts w:ascii="Verdana" w:hAnsi="Verdana"/>
                                <w:color w:val="000000"/>
                                <w:sz w:val="14"/>
                              </w:rPr>
                              <w:t xml:space="preserve"> improving capex, revenue and EBITDA suggest FCFF may improve also.</w:t>
                            </w:r>
                            <w:r>
                              <w:rPr>
                                <w:color w:val="000000"/>
                              </w:rPr>
                              <w:br/>
                            </w:r>
                          </w:p>
                          <w:p w14:paraId="58EF731B" w14:textId="77777777" w:rsidR="000A5DB3" w:rsidRDefault="000A5DB3">
                            <w:pPr>
                              <w:pStyle w:val="FrameContents"/>
                              <w:spacing w:after="0" w:line="240" w:lineRule="auto"/>
                              <w:rPr>
                                <w:color w:val="000000"/>
                              </w:rPr>
                            </w:pPr>
                          </w:p>
                          <w:p w14:paraId="751FB017" w14:textId="77777777" w:rsidR="000A5DB3" w:rsidRDefault="000A5DB3">
                            <w:pPr>
                              <w:pStyle w:val="FrameContents"/>
                              <w:spacing w:after="0" w:line="240" w:lineRule="auto"/>
                            </w:pPr>
                          </w:p>
                        </w:txbxContent>
                      </wps:txbx>
                      <wps:bodyPr anchor="t">
                        <a:noAutofit/>
                      </wps:bodyPr>
                    </wps:wsp>
                  </a:graphicData>
                </a:graphic>
              </wp:anchor>
            </w:drawing>
          </mc:Choice>
          <mc:Fallback>
            <w:pict>
              <v:rect id="shape_0" ID="Text Box 3" path="m0,0l-2147483645,0l-2147483645,-2147483646l0,-2147483646xe" fillcolor="white" stroked="t" o:allowincell="f" style="position:absolute;margin-left:217.45pt;margin-top:459.3pt;width:353.25pt;height:146.7pt;mso-wrap-style:square;v-text-anchor:top;mso-position-horizontal-relative:margin">
                <v:fill o:detectmouseclick="t" type="solid" color2="black"/>
                <v:stroke color="black" weight="9360" joinstyle="miter" endcap="flat"/>
                <v:textbox>
                  <w:txbxContent>
                    <w:p>
                      <w:pPr>
                        <w:pStyle w:val="FrameContents"/>
                        <w:overflowPunct w:val="true"/>
                        <w:spacing w:lineRule="auto" w:line="240" w:before="0" w:after="0"/>
                        <w:jc w:val="left"/>
                        <w:rPr>
                          <w:color w:val="000000"/>
                          <w:sz w:val="20"/>
                          <w:szCs w:val="20"/>
                        </w:rPr>
                      </w:pPr>
                      <w:r>
                        <w:rPr>
                          <w:b/>
                          <w:bCs/>
                          <w:color w:val="000000"/>
                          <w:sz w:val="20"/>
                          <w:szCs w:val="20"/>
                        </w:rPr>
                        <w:t xml:space="preserve">Point </w:t>
                      </w:r>
                      <w:r>
                        <w:rPr>
                          <w:b/>
                          <w:bCs/>
                          <w:color w:val="000000"/>
                          <w:sz w:val="20"/>
                          <w:szCs w:val="20"/>
                        </w:rPr>
                        <w:t>3:</w:t>
                      </w:r>
                    </w:p>
                    <w:p>
                      <w:pPr>
                        <w:pStyle w:val="FrameContents"/>
                        <w:overflowPunct w:val="true"/>
                        <w:spacing w:lineRule="auto" w:line="240" w:before="0" w:after="0"/>
                        <w:jc w:val="left"/>
                        <w:rPr>
                          <w:color w:val="000000"/>
                        </w:rPr>
                      </w:pPr>
                      <w:r>
                        <w:rPr>
                          <w:rFonts w:ascii="Verdana" w:hAnsi="Verdana"/>
                          <w:b/>
                          <w:bCs/>
                          <w:i w:val="false"/>
                          <w:caps w:val="false"/>
                          <w:smallCaps w:val="false"/>
                          <w:color w:val="000000"/>
                          <w:spacing w:val="0"/>
                          <w:sz w:val="14"/>
                        </w:rPr>
                        <w:t>EPS,</w:t>
                      </w:r>
                      <w:r>
                        <w:rPr>
                          <w:rFonts w:ascii="Verdana" w:hAnsi="Verdana"/>
                          <w:b w:val="false"/>
                          <w:i w:val="false"/>
                          <w:caps w:val="false"/>
                          <w:smallCaps w:val="false"/>
                          <w:color w:val="000000"/>
                          <w:spacing w:val="0"/>
                          <w:sz w:val="14"/>
                        </w:rPr>
                        <w:t xml:space="preserve"> continually rising with sharp increases in 2021. The company's plans to increase its share count in the coming years should continue to effect EPS positively looking forward.</w:t>
                      </w:r>
                    </w:p>
                    <w:p>
                      <w:pPr>
                        <w:pStyle w:val="Normal"/>
                        <w:overflowPunct w:val="true"/>
                        <w:spacing w:lineRule="auto" w:line="240" w:before="0" w:after="0"/>
                        <w:jc w:val="left"/>
                        <w:rPr/>
                      </w:pPr>
                      <w:r>
                        <w:rPr>
                          <w:rFonts w:ascii="Verdana" w:hAnsi="Verdana"/>
                          <w:b/>
                          <w:bCs/>
                          <w:i w:val="false"/>
                          <w:caps w:val="false"/>
                          <w:smallCaps w:val="false"/>
                          <w:color w:val="000000"/>
                          <w:spacing w:val="0"/>
                          <w:sz w:val="14"/>
                        </w:rPr>
                        <w:t>Capex</w:t>
                      </w:r>
                      <w:r>
                        <w:rPr>
                          <w:rFonts w:ascii="Verdana" w:hAnsi="Verdana"/>
                          <w:b w:val="false"/>
                          <w:i w:val="false"/>
                          <w:caps w:val="false"/>
                          <w:smallCaps w:val="false"/>
                          <w:color w:val="000000"/>
                          <w:spacing w:val="0"/>
                          <w:sz w:val="14"/>
                        </w:rPr>
                        <w:t xml:space="preserve"> was gradually increasing until 2019, where the past few years have seen a significant and impressive decrease, a lower Capex in 2021 and 2022, than in 2015. Potential to rise gradually in coming years but to remain at lower levels is probable, due to consistent </w:t>
                      </w:r>
                      <w:r>
                        <w:rPr>
                          <w:rFonts w:ascii="Verdana" w:hAnsi="Verdana"/>
                          <w:b w:val="false"/>
                          <w:i w:val="false"/>
                          <w:caps w:val="false"/>
                          <w:smallCaps w:val="false"/>
                          <w:color w:val="000000"/>
                          <w:spacing w:val="0"/>
                          <w:sz w:val="14"/>
                        </w:rPr>
                        <w:t>C</w:t>
                      </w:r>
                      <w:r>
                        <w:rPr>
                          <w:rFonts w:ascii="Verdana" w:hAnsi="Verdana"/>
                          <w:b w:val="false"/>
                          <w:i w:val="false"/>
                          <w:caps w:val="false"/>
                          <w:smallCaps w:val="false"/>
                          <w:color w:val="000000"/>
                          <w:spacing w:val="0"/>
                          <w:sz w:val="14"/>
                        </w:rPr>
                        <w:t>apex performance across all segments implying a genuine all around sustainable improvement throughout the company.</w:t>
                      </w:r>
                      <w:r>
                        <w:rPr>
                          <w:color w:val="000000"/>
                        </w:rPr>
                        <w:br/>
                      </w:r>
                      <w:r>
                        <w:rPr>
                          <w:rFonts w:ascii="Verdana" w:hAnsi="Verdana"/>
                          <w:b/>
                          <w:bCs/>
                          <w:i w:val="false"/>
                          <w:caps w:val="false"/>
                          <w:smallCaps w:val="false"/>
                          <w:color w:val="000000"/>
                          <w:spacing w:val="0"/>
                          <w:sz w:val="14"/>
                        </w:rPr>
                        <w:t>FCFF</w:t>
                      </w:r>
                      <w:r>
                        <w:rPr>
                          <w:rFonts w:ascii="Verdana" w:hAnsi="Verdana"/>
                          <w:b w:val="false"/>
                          <w:i w:val="false"/>
                          <w:caps w:val="false"/>
                          <w:smallCaps w:val="false"/>
                          <w:color w:val="000000"/>
                          <w:spacing w:val="0"/>
                          <w:sz w:val="14"/>
                        </w:rPr>
                        <w:t xml:space="preserve"> is currently around 20% 25% of it current debt. Debt has also been growing since 2015 but has not increased further in the past 4 years.</w:t>
                      </w:r>
                      <w:r>
                        <w:rPr>
                          <w:color w:val="000000"/>
                        </w:rPr>
                        <w:br/>
                      </w:r>
                      <w:r>
                        <w:rPr>
                          <w:rFonts w:ascii="Verdana" w:hAnsi="Verdana"/>
                          <w:b w:val="false"/>
                          <w:i w:val="false"/>
                          <w:caps w:val="false"/>
                          <w:smallCaps w:val="false"/>
                          <w:color w:val="000000"/>
                          <w:spacing w:val="0"/>
                          <w:sz w:val="14"/>
                        </w:rPr>
                        <w:t>FCFF is around 5'000 billion, a decrease of 2'000 billion from the prior year. An increase in FCFF and decrease in debt would be desirable.</w:t>
                      </w:r>
                      <w:r>
                        <w:rPr>
                          <w:color w:val="000000"/>
                        </w:rPr>
                        <w:br/>
                      </w:r>
                      <w:r>
                        <w:rPr>
                          <w:rFonts w:ascii="Verdana" w:hAnsi="Verdana"/>
                          <w:b w:val="false"/>
                          <w:i w:val="false"/>
                          <w:caps w:val="false"/>
                          <w:smallCaps w:val="false"/>
                          <w:color w:val="000000"/>
                          <w:spacing w:val="0"/>
                          <w:sz w:val="14"/>
                        </w:rPr>
                        <w:t>Further loans to acquire shares have been taken, uncertainty remains as to the reduction of debt. However improving capex, revenue and EBITDA suggest FCFF may improve also.</w:t>
                      </w:r>
                      <w:r>
                        <w:rPr>
                          <w:color w:val="000000"/>
                        </w:rPr>
                        <w:br/>
                      </w:r>
                    </w:p>
                    <w:p>
                      <w:pPr>
                        <w:pStyle w:val="FrameContents"/>
                        <w:overflowPunct w:val="true"/>
                        <w:spacing w:lineRule="auto" w:line="240" w:before="0" w:after="0"/>
                        <w:jc w:val="left"/>
                        <w:rPr>
                          <w:color w:val="000000"/>
                        </w:rPr>
                      </w:pPr>
                      <w:r>
                        <w:rPr>
                          <w:color w:val="000000"/>
                        </w:rPr>
                      </w:r>
                    </w:p>
                    <w:p>
                      <w:pPr>
                        <w:pStyle w:val="FrameContents"/>
                        <w:overflowPunct w:val="true"/>
                        <w:spacing w:lineRule="auto" w:line="240" w:before="0" w:after="0"/>
                        <w:jc w:val="left"/>
                        <w:rPr/>
                      </w:pPr>
                      <w:r>
                        <w:rPr/>
                      </w:r>
                    </w:p>
                  </w:txbxContent>
                </v:textbox>
                <w10:wrap type="square"/>
              </v:rect>
            </w:pict>
          </mc:Fallback>
        </mc:AlternateContent>
      </w:r>
      <w:r>
        <w:rPr>
          <w:noProof/>
        </w:rPr>
        <mc:AlternateContent>
          <mc:Choice Requires="wps">
            <w:drawing>
              <wp:anchor distT="40005" distB="52070" distL="108585" distR="132080" simplePos="0" relativeHeight="6" behindDoc="0" locked="0" layoutInCell="0" allowOverlap="1" wp14:anchorId="7013C112" wp14:editId="40E2B49E">
                <wp:simplePos x="0" y="0"/>
                <wp:positionH relativeFrom="margin">
                  <wp:posOffset>2768600</wp:posOffset>
                </wp:positionH>
                <wp:positionV relativeFrom="paragraph">
                  <wp:posOffset>1800860</wp:posOffset>
                </wp:positionV>
                <wp:extent cx="4467225" cy="1882775"/>
                <wp:effectExtent l="5715" t="5715" r="4445" b="4445"/>
                <wp:wrapSquare wrapText="bothSides"/>
                <wp:docPr id="5" name="Text Box 4"/>
                <wp:cNvGraphicFramePr/>
                <a:graphic xmlns:a="http://schemas.openxmlformats.org/drawingml/2006/main">
                  <a:graphicData uri="http://schemas.microsoft.com/office/word/2010/wordprocessingShape">
                    <wps:wsp>
                      <wps:cNvSpPr/>
                      <wps:spPr>
                        <a:xfrm>
                          <a:off x="0" y="0"/>
                          <a:ext cx="4467240" cy="18828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0CAAB02F" w14:textId="77777777" w:rsidR="000A5DB3" w:rsidRDefault="000A5DB3">
                            <w:pPr>
                              <w:pStyle w:val="FrameContents"/>
                              <w:spacing w:after="0" w:line="240" w:lineRule="auto"/>
                              <w:rPr>
                                <w:rFonts w:ascii="Verdana" w:hAnsi="Verdana"/>
                                <w:b/>
                                <w:bCs/>
                              </w:rPr>
                            </w:pPr>
                          </w:p>
                          <w:p w14:paraId="0B35B42C" w14:textId="77777777" w:rsidR="000A5DB3" w:rsidRDefault="00000000">
                            <w:pPr>
                              <w:pStyle w:val="FrameContents"/>
                              <w:spacing w:after="0" w:line="240" w:lineRule="auto"/>
                              <w:rPr>
                                <w:color w:val="000000"/>
                                <w:sz w:val="14"/>
                                <w:szCs w:val="14"/>
                              </w:rPr>
                            </w:pPr>
                            <w:r>
                              <w:rPr>
                                <w:rFonts w:ascii="Verdana" w:hAnsi="Verdana"/>
                                <w:b/>
                                <w:bCs/>
                                <w:color w:val="000000"/>
                                <w:sz w:val="14"/>
                                <w:szCs w:val="14"/>
                              </w:rPr>
                              <w:t>North America</w:t>
                            </w:r>
                            <w:r>
                              <w:rPr>
                                <w:rFonts w:ascii="Verdana" w:hAnsi="Verdana"/>
                                <w:color w:val="000000"/>
                                <w:sz w:val="14"/>
                                <w:szCs w:val="14"/>
                              </w:rPr>
                              <w:t xml:space="preserve"> continues to be Nike's largest revenue driver making up around 40% of the company's total revenue. Footwear being the most influential segment making up around 65% and has grown 31% in the past 5 years.</w:t>
                            </w:r>
                            <w:r>
                              <w:rPr>
                                <w:color w:val="000000"/>
                                <w:sz w:val="14"/>
                                <w:szCs w:val="14"/>
                              </w:rPr>
                              <w:br/>
                            </w:r>
                            <w:r>
                              <w:rPr>
                                <w:rFonts w:ascii="Verdana" w:hAnsi="Verdana"/>
                                <w:b/>
                                <w:bCs/>
                                <w:color w:val="000000"/>
                                <w:sz w:val="14"/>
                                <w:szCs w:val="14"/>
                              </w:rPr>
                              <w:t>Europe, middle east and Africa</w:t>
                            </w:r>
                            <w:r>
                              <w:rPr>
                                <w:rFonts w:ascii="Verdana" w:hAnsi="Verdana"/>
                                <w:color w:val="000000"/>
                                <w:sz w:val="14"/>
                                <w:szCs w:val="14"/>
                              </w:rPr>
                              <w:t xml:space="preserve"> is Nike's second biggest source of revenue at around 26%. Overall revenue in these regions has grown 35% in the past 5 years, however apparel has seen the most significant at around 54% and this segment is </w:t>
                            </w:r>
                            <w:proofErr w:type="gramStart"/>
                            <w:r>
                              <w:rPr>
                                <w:rFonts w:ascii="Verdana" w:hAnsi="Verdana"/>
                                <w:color w:val="000000"/>
                                <w:sz w:val="14"/>
                                <w:szCs w:val="14"/>
                              </w:rPr>
                              <w:t>out performing</w:t>
                            </w:r>
                            <w:proofErr w:type="gramEnd"/>
                            <w:r>
                              <w:rPr>
                                <w:rFonts w:ascii="Verdana" w:hAnsi="Verdana"/>
                                <w:color w:val="000000"/>
                                <w:sz w:val="14"/>
                                <w:szCs w:val="14"/>
                              </w:rPr>
                              <w:t xml:space="preserve"> all other regions in terms of growth.</w:t>
                            </w:r>
                            <w:r>
                              <w:rPr>
                                <w:color w:val="000000"/>
                                <w:sz w:val="14"/>
                                <w:szCs w:val="14"/>
                              </w:rPr>
                              <w:br/>
                            </w:r>
                            <w:r>
                              <w:rPr>
                                <w:rFonts w:ascii="Verdana" w:hAnsi="Verdana"/>
                                <w:b/>
                                <w:bCs/>
                                <w:color w:val="000000"/>
                                <w:sz w:val="14"/>
                                <w:szCs w:val="14"/>
                              </w:rPr>
                              <w:t>Greater China</w:t>
                            </w:r>
                            <w:r>
                              <w:rPr>
                                <w:rFonts w:ascii="Verdana" w:hAnsi="Verdana"/>
                                <w:color w:val="000000"/>
                                <w:sz w:val="14"/>
                                <w:szCs w:val="14"/>
                              </w:rPr>
                              <w:t xml:space="preserve"> is </w:t>
                            </w:r>
                            <w:proofErr w:type="spellStart"/>
                            <w:r>
                              <w:rPr>
                                <w:rFonts w:ascii="Verdana" w:hAnsi="Verdana"/>
                                <w:color w:val="000000"/>
                                <w:sz w:val="14"/>
                                <w:szCs w:val="14"/>
                              </w:rPr>
                              <w:t>nikes</w:t>
                            </w:r>
                            <w:proofErr w:type="spellEnd"/>
                            <w:r>
                              <w:rPr>
                                <w:rFonts w:ascii="Verdana" w:hAnsi="Verdana"/>
                                <w:color w:val="000000"/>
                                <w:sz w:val="14"/>
                                <w:szCs w:val="14"/>
                              </w:rPr>
                              <w:t xml:space="preserve"> 3rd largest source of revenue and has seen the greatest growth of all regions by around 47% in the past 5 years, most notably footwear, with growth of 55%.</w:t>
                            </w:r>
                          </w:p>
                          <w:p w14:paraId="264DBF32" w14:textId="77777777" w:rsidR="000A5DB3" w:rsidRDefault="00000000">
                            <w:pPr>
                              <w:pStyle w:val="FrameContents"/>
                              <w:spacing w:after="0" w:line="240" w:lineRule="auto"/>
                              <w:rPr>
                                <w:color w:val="000000"/>
                                <w:sz w:val="14"/>
                                <w:szCs w:val="14"/>
                              </w:rPr>
                            </w:pPr>
                            <w:r>
                              <w:rPr>
                                <w:color w:val="000000"/>
                                <w:sz w:val="14"/>
                                <w:szCs w:val="14"/>
                              </w:rPr>
                              <w:br/>
                            </w:r>
                            <w:r>
                              <w:rPr>
                                <w:rFonts w:ascii="Verdana" w:hAnsi="Verdana"/>
                                <w:b/>
                                <w:bCs/>
                                <w:color w:val="000000"/>
                                <w:sz w:val="14"/>
                                <w:szCs w:val="14"/>
                              </w:rPr>
                              <w:t>To summarize the key drivers in the years to come:</w:t>
                            </w:r>
                            <w:r>
                              <w:rPr>
                                <w:color w:val="000000"/>
                                <w:sz w:val="14"/>
                                <w:szCs w:val="14"/>
                              </w:rPr>
                              <w:br/>
                            </w:r>
                            <w:r>
                              <w:rPr>
                                <w:rFonts w:ascii="Verdana" w:hAnsi="Verdana"/>
                                <w:color w:val="000000"/>
                                <w:sz w:val="14"/>
                                <w:szCs w:val="14"/>
                              </w:rPr>
                              <w:t>Footwear in North America.</w:t>
                            </w:r>
                            <w:r>
                              <w:rPr>
                                <w:color w:val="000000"/>
                                <w:sz w:val="14"/>
                                <w:szCs w:val="14"/>
                              </w:rPr>
                              <w:br/>
                            </w:r>
                            <w:proofErr w:type="spellStart"/>
                            <w:r>
                              <w:rPr>
                                <w:rFonts w:ascii="Verdana" w:hAnsi="Verdana"/>
                                <w:color w:val="000000"/>
                                <w:sz w:val="14"/>
                                <w:szCs w:val="14"/>
                              </w:rPr>
                              <w:t>Apparrel</w:t>
                            </w:r>
                            <w:proofErr w:type="spellEnd"/>
                            <w:r>
                              <w:rPr>
                                <w:rFonts w:ascii="Verdana" w:hAnsi="Verdana"/>
                                <w:color w:val="000000"/>
                                <w:sz w:val="14"/>
                                <w:szCs w:val="14"/>
                              </w:rPr>
                              <w:t xml:space="preserve"> in Europe and Middle East.</w:t>
                            </w:r>
                            <w:r>
                              <w:rPr>
                                <w:color w:val="000000"/>
                                <w:sz w:val="14"/>
                                <w:szCs w:val="14"/>
                              </w:rPr>
                              <w:br/>
                            </w:r>
                            <w:r>
                              <w:rPr>
                                <w:rFonts w:ascii="Verdana" w:hAnsi="Verdana"/>
                                <w:color w:val="000000"/>
                                <w:sz w:val="14"/>
                                <w:szCs w:val="14"/>
                              </w:rPr>
                              <w:t>Greater China as the region for increasing overall growth potential.</w:t>
                            </w:r>
                            <w:r>
                              <w:rPr>
                                <w:color w:val="000000"/>
                                <w:sz w:val="14"/>
                                <w:szCs w:val="14"/>
                              </w:rPr>
                              <w:t xml:space="preserve"> </w:t>
                            </w:r>
                          </w:p>
                          <w:p w14:paraId="0FACB862" w14:textId="77777777" w:rsidR="000A5DB3" w:rsidRDefault="000A5DB3">
                            <w:pPr>
                              <w:pStyle w:val="FrameContents"/>
                              <w:spacing w:after="0" w:line="240" w:lineRule="auto"/>
                            </w:pPr>
                          </w:p>
                        </w:txbxContent>
                      </wps:txbx>
                      <wps:bodyPr anchor="t">
                        <a:noAutofit/>
                      </wps:bodyPr>
                    </wps:wsp>
                  </a:graphicData>
                </a:graphic>
              </wp:anchor>
            </w:drawing>
          </mc:Choice>
          <mc:Fallback>
            <w:pict>
              <v:rect id="shape_0" ID="Text Box 4" path="m0,0l-2147483645,0l-2147483645,-2147483646l0,-2147483646xe" fillcolor="white" stroked="t" o:allowincell="f" style="position:absolute;margin-left:218pt;margin-top:141.8pt;width:351.7pt;height:148.2pt;mso-wrap-style:square;v-text-anchor:top;mso-position-horizontal-relative:margin">
                <v:fill o:detectmouseclick="t" type="solid" color2="black"/>
                <v:stroke color="black" weight="9360" joinstyle="miter" endcap="flat"/>
                <v:textbox>
                  <w:txbxContent>
                    <w:p>
                      <w:pPr>
                        <w:pStyle w:val="FrameContents"/>
                        <w:overflowPunct w:val="true"/>
                        <w:spacing w:lineRule="auto" w:line="240" w:before="0" w:after="0"/>
                        <w:jc w:val="left"/>
                        <w:rPr>
                          <w:rFonts w:ascii="Verdana" w:hAnsi="Verdana"/>
                          <w:b/>
                          <w:bCs/>
                          <w:i w:val="false"/>
                          <w:caps w:val="false"/>
                          <w:smallCaps w:val="false"/>
                          <w:spacing w:val="0"/>
                        </w:rPr>
                      </w:pPr>
                      <w:r>
                        <w:rPr>
                          <w:color w:val="000000"/>
                          <w:sz w:val="14"/>
                          <w:szCs w:val="14"/>
                        </w:rPr>
                      </w:r>
                    </w:p>
                    <w:p>
                      <w:pPr>
                        <w:pStyle w:val="FrameContents"/>
                        <w:overflowPunct w:val="true"/>
                        <w:spacing w:lineRule="auto" w:line="240" w:before="0" w:after="0"/>
                        <w:jc w:val="left"/>
                        <w:rPr>
                          <w:color w:val="000000"/>
                          <w:sz w:val="14"/>
                          <w:szCs w:val="14"/>
                        </w:rPr>
                      </w:pPr>
                      <w:r>
                        <w:rPr>
                          <w:rFonts w:ascii="Verdana" w:hAnsi="Verdana"/>
                          <w:b/>
                          <w:bCs/>
                          <w:i w:val="false"/>
                          <w:caps w:val="false"/>
                          <w:smallCaps w:val="false"/>
                          <w:color w:val="000000"/>
                          <w:spacing w:val="0"/>
                          <w:sz w:val="14"/>
                          <w:szCs w:val="14"/>
                        </w:rPr>
                        <w:t>North America</w:t>
                      </w:r>
                      <w:r>
                        <w:rPr>
                          <w:rFonts w:ascii="Verdana" w:hAnsi="Verdana"/>
                          <w:b w:val="false"/>
                          <w:i w:val="false"/>
                          <w:caps w:val="false"/>
                          <w:smallCaps w:val="false"/>
                          <w:color w:val="000000"/>
                          <w:spacing w:val="0"/>
                          <w:sz w:val="14"/>
                          <w:szCs w:val="14"/>
                        </w:rPr>
                        <w:t xml:space="preserve"> continues to be Nike's largest revenue driver making up around 40% of the company's total revenue. Footwear being the most influential segment making up around 65% and has grown 31% in the past 5 years.</w:t>
                      </w:r>
                      <w:r>
                        <w:rPr>
                          <w:color w:val="000000"/>
                          <w:sz w:val="14"/>
                          <w:szCs w:val="14"/>
                        </w:rPr>
                        <w:br/>
                      </w:r>
                      <w:r>
                        <w:rPr>
                          <w:rFonts w:ascii="Verdana" w:hAnsi="Verdana"/>
                          <w:b/>
                          <w:bCs/>
                          <w:i w:val="false"/>
                          <w:caps w:val="false"/>
                          <w:smallCaps w:val="false"/>
                          <w:color w:val="000000"/>
                          <w:spacing w:val="0"/>
                          <w:sz w:val="14"/>
                          <w:szCs w:val="14"/>
                        </w:rPr>
                        <w:t>Europe, middle east and Africa</w:t>
                      </w:r>
                      <w:r>
                        <w:rPr>
                          <w:rFonts w:ascii="Verdana" w:hAnsi="Verdana"/>
                          <w:b w:val="false"/>
                          <w:i w:val="false"/>
                          <w:caps w:val="false"/>
                          <w:smallCaps w:val="false"/>
                          <w:color w:val="000000"/>
                          <w:spacing w:val="0"/>
                          <w:sz w:val="14"/>
                          <w:szCs w:val="14"/>
                        </w:rPr>
                        <w:t xml:space="preserve"> is Nike's second biggest source of revenue at around 26%. Overall revenue in these regions has grown 35% in the past 5 years, however apparel has seen the most significant at around 54% and this segment is out performing all other regions in terms of growth.</w:t>
                      </w:r>
                      <w:r>
                        <w:rPr>
                          <w:color w:val="000000"/>
                          <w:sz w:val="14"/>
                          <w:szCs w:val="14"/>
                        </w:rPr>
                        <w:br/>
                      </w:r>
                      <w:r>
                        <w:rPr>
                          <w:rFonts w:ascii="Verdana" w:hAnsi="Verdana"/>
                          <w:b/>
                          <w:bCs/>
                          <w:i w:val="false"/>
                          <w:caps w:val="false"/>
                          <w:smallCaps w:val="false"/>
                          <w:color w:val="000000"/>
                          <w:spacing w:val="0"/>
                          <w:sz w:val="14"/>
                          <w:szCs w:val="14"/>
                        </w:rPr>
                        <w:t>Greater China</w:t>
                      </w:r>
                      <w:r>
                        <w:rPr>
                          <w:rFonts w:ascii="Verdana" w:hAnsi="Verdana"/>
                          <w:b w:val="false"/>
                          <w:i w:val="false"/>
                          <w:caps w:val="false"/>
                          <w:smallCaps w:val="false"/>
                          <w:color w:val="000000"/>
                          <w:spacing w:val="0"/>
                          <w:sz w:val="14"/>
                          <w:szCs w:val="14"/>
                        </w:rPr>
                        <w:t xml:space="preserve"> is nikes 3rd largest source of revenue and has seen the greatest growth of all regions by around 47% in the past 5 years, most notably footwear, with growth of 55%.</w:t>
                      </w:r>
                    </w:p>
                    <w:p>
                      <w:pPr>
                        <w:pStyle w:val="FrameContents"/>
                        <w:overflowPunct w:val="true"/>
                        <w:spacing w:lineRule="auto" w:line="240" w:before="0" w:after="0"/>
                        <w:jc w:val="left"/>
                        <w:rPr>
                          <w:color w:val="000000"/>
                          <w:sz w:val="14"/>
                          <w:szCs w:val="14"/>
                        </w:rPr>
                      </w:pPr>
                      <w:r>
                        <w:rPr>
                          <w:color w:val="000000"/>
                          <w:sz w:val="14"/>
                          <w:szCs w:val="14"/>
                        </w:rPr>
                        <w:br/>
                      </w:r>
                      <w:r>
                        <w:rPr>
                          <w:rFonts w:ascii="Verdana" w:hAnsi="Verdana"/>
                          <w:b/>
                          <w:bCs/>
                          <w:i w:val="false"/>
                          <w:caps w:val="false"/>
                          <w:smallCaps w:val="false"/>
                          <w:color w:val="000000"/>
                          <w:spacing w:val="0"/>
                          <w:sz w:val="14"/>
                          <w:szCs w:val="14"/>
                        </w:rPr>
                        <w:t>To summarize the key drivers in the years to come:</w:t>
                      </w:r>
                      <w:r>
                        <w:rPr>
                          <w:color w:val="000000"/>
                          <w:sz w:val="14"/>
                          <w:szCs w:val="14"/>
                        </w:rPr>
                        <w:br/>
                      </w:r>
                      <w:r>
                        <w:rPr>
                          <w:rFonts w:ascii="Verdana" w:hAnsi="Verdana"/>
                          <w:b w:val="false"/>
                          <w:i w:val="false"/>
                          <w:caps w:val="false"/>
                          <w:smallCaps w:val="false"/>
                          <w:color w:val="000000"/>
                          <w:spacing w:val="0"/>
                          <w:sz w:val="14"/>
                          <w:szCs w:val="14"/>
                        </w:rPr>
                        <w:t>Footwear in North America.</w:t>
                      </w:r>
                      <w:r>
                        <w:rPr>
                          <w:color w:val="000000"/>
                          <w:sz w:val="14"/>
                          <w:szCs w:val="14"/>
                        </w:rPr>
                        <w:br/>
                      </w:r>
                      <w:r>
                        <w:rPr>
                          <w:rFonts w:ascii="Verdana" w:hAnsi="Verdana"/>
                          <w:b w:val="false"/>
                          <w:i w:val="false"/>
                          <w:caps w:val="false"/>
                          <w:smallCaps w:val="false"/>
                          <w:color w:val="000000"/>
                          <w:spacing w:val="0"/>
                          <w:sz w:val="14"/>
                          <w:szCs w:val="14"/>
                        </w:rPr>
                        <w:t>Apparrel in Europe and Middle East.</w:t>
                      </w:r>
                      <w:r>
                        <w:rPr>
                          <w:color w:val="000000"/>
                          <w:sz w:val="14"/>
                          <w:szCs w:val="14"/>
                        </w:rPr>
                        <w:br/>
                      </w:r>
                      <w:r>
                        <w:rPr>
                          <w:rFonts w:ascii="Verdana" w:hAnsi="Verdana"/>
                          <w:b w:val="false"/>
                          <w:i w:val="false"/>
                          <w:caps w:val="false"/>
                          <w:smallCaps w:val="false"/>
                          <w:color w:val="000000"/>
                          <w:spacing w:val="0"/>
                          <w:sz w:val="14"/>
                          <w:szCs w:val="14"/>
                        </w:rPr>
                        <w:t>Greater China as the region for increasing overall growth potential.</w:t>
                      </w:r>
                      <w:r>
                        <w:rPr>
                          <w:color w:val="000000"/>
                          <w:sz w:val="14"/>
                          <w:szCs w:val="14"/>
                        </w:rPr>
                        <w:t xml:space="preserve"> </w:t>
                      </w:r>
                    </w:p>
                    <w:p>
                      <w:pPr>
                        <w:pStyle w:val="FrameContents"/>
                        <w:overflowPunct w:val="true"/>
                        <w:spacing w:lineRule="auto" w:line="240" w:before="0" w:after="0"/>
                        <w:jc w:val="left"/>
                        <w:rPr/>
                      </w:pPr>
                      <w:r>
                        <w:rPr/>
                      </w:r>
                    </w:p>
                  </w:txbxContent>
                </v:textbox>
                <w10:wrap type="square"/>
              </v:rect>
            </w:pict>
          </mc:Fallback>
        </mc:AlternateContent>
      </w:r>
      <w:r>
        <w:rPr>
          <w:noProof/>
        </w:rPr>
        <mc:AlternateContent>
          <mc:Choice Requires="wps">
            <w:drawing>
              <wp:anchor distT="40005" distB="52070" distL="109220" distR="124460" simplePos="0" relativeHeight="8" behindDoc="0" locked="0" layoutInCell="0" allowOverlap="1" wp14:anchorId="5437EC96" wp14:editId="007C1282">
                <wp:simplePos x="0" y="0"/>
                <wp:positionH relativeFrom="margin">
                  <wp:posOffset>-142240</wp:posOffset>
                </wp:positionH>
                <wp:positionV relativeFrom="paragraph">
                  <wp:posOffset>635</wp:posOffset>
                </wp:positionV>
                <wp:extent cx="7149465" cy="806450"/>
                <wp:effectExtent l="5715" t="5080" r="4445" b="5080"/>
                <wp:wrapSquare wrapText="bothSides"/>
                <wp:docPr id="7" name="Text Box 2"/>
                <wp:cNvGraphicFramePr/>
                <a:graphic xmlns:a="http://schemas.openxmlformats.org/drawingml/2006/main">
                  <a:graphicData uri="http://schemas.microsoft.com/office/word/2010/wordprocessingShape">
                    <wps:wsp>
                      <wps:cNvSpPr/>
                      <wps:spPr>
                        <a:xfrm>
                          <a:off x="0" y="0"/>
                          <a:ext cx="7149600" cy="8064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21A1A37D" w14:textId="77777777" w:rsidR="000A5DB3" w:rsidRDefault="00000000">
                            <w:pPr>
                              <w:pStyle w:val="FrameContents"/>
                              <w:rPr>
                                <w:sz w:val="20"/>
                                <w:szCs w:val="20"/>
                              </w:rPr>
                            </w:pPr>
                            <w:r>
                              <w:rPr>
                                <w:color w:val="000000"/>
                                <w:sz w:val="20"/>
                                <w:szCs w:val="20"/>
                              </w:rPr>
                              <w:t xml:space="preserve">Company Name: </w:t>
                            </w:r>
                            <w:r>
                              <w:rPr>
                                <w:b/>
                                <w:bCs/>
                                <w:color w:val="000000"/>
                                <w:sz w:val="20"/>
                                <w:szCs w:val="20"/>
                              </w:rPr>
                              <w:t xml:space="preserve">Nike Inc                                                                                                 </w:t>
                            </w:r>
                            <w:r>
                              <w:rPr>
                                <w:color w:val="000000"/>
                                <w:sz w:val="20"/>
                                <w:szCs w:val="20"/>
                              </w:rPr>
                              <w:t xml:space="preserve">Ticker: </w:t>
                            </w:r>
                            <w:r>
                              <w:rPr>
                                <w:b/>
                                <w:bCs/>
                                <w:color w:val="000000"/>
                                <w:sz w:val="20"/>
                                <w:szCs w:val="20"/>
                              </w:rPr>
                              <w:t>NKE</w:t>
                            </w:r>
                          </w:p>
                          <w:p w14:paraId="5109B3AC" w14:textId="77777777" w:rsidR="000A5DB3" w:rsidRDefault="00000000">
                            <w:pPr>
                              <w:pStyle w:val="FrameContents"/>
                              <w:rPr>
                                <w:sz w:val="20"/>
                                <w:szCs w:val="20"/>
                              </w:rPr>
                            </w:pPr>
                            <w:r>
                              <w:rPr>
                                <w:color w:val="000000"/>
                                <w:sz w:val="20"/>
                                <w:szCs w:val="20"/>
                              </w:rPr>
                              <w:t>Current Share Price:  $99.80</w:t>
                            </w:r>
                          </w:p>
                          <w:p w14:paraId="7C3EAF56" w14:textId="77777777" w:rsidR="000A5DB3" w:rsidRDefault="00000000">
                            <w:pPr>
                              <w:pStyle w:val="FrameContents"/>
                              <w:rPr>
                                <w:sz w:val="20"/>
                                <w:szCs w:val="20"/>
                              </w:rPr>
                            </w:pPr>
                            <w:r>
                              <w:rPr>
                                <w:color w:val="000000"/>
                                <w:sz w:val="20"/>
                                <w:szCs w:val="20"/>
                              </w:rPr>
                              <w:t>Upside: $</w:t>
                            </w:r>
                            <w:proofErr w:type="gramStart"/>
                            <w:r>
                              <w:rPr>
                                <w:color w:val="000000"/>
                                <w:sz w:val="20"/>
                                <w:szCs w:val="20"/>
                              </w:rPr>
                              <w:t>170  /</w:t>
                            </w:r>
                            <w:proofErr w:type="gramEnd"/>
                            <w:r>
                              <w:rPr>
                                <w:color w:val="000000"/>
                                <w:sz w:val="20"/>
                                <w:szCs w:val="20"/>
                              </w:rPr>
                              <w:t xml:space="preserve"> + 70.34%    Downside: $85 / - 14.83%                       </w:t>
                            </w:r>
                          </w:p>
                          <w:p w14:paraId="0BD97EFD" w14:textId="77777777" w:rsidR="000A5DB3" w:rsidRDefault="00000000">
                            <w:pPr>
                              <w:pStyle w:val="FrameContents"/>
                              <w:rPr>
                                <w:sz w:val="20"/>
                                <w:szCs w:val="20"/>
                              </w:rPr>
                            </w:pPr>
                            <w:r>
                              <w:rPr>
                                <w:color w:val="000000"/>
                                <w:sz w:val="16"/>
                                <w:szCs w:val="16"/>
                              </w:rPr>
                              <w:t>Upside/Downside to current share price: ((Forecasted Price – Current Price)/Current Price)</w:t>
                            </w:r>
                          </w:p>
                        </w:txbxContent>
                      </wps:txbx>
                      <wps:bodyPr anchor="t">
                        <a:noAutofit/>
                      </wps:bodyPr>
                    </wps:wsp>
                  </a:graphicData>
                </a:graphic>
              </wp:anchor>
            </w:drawing>
          </mc:Choice>
          <mc:Fallback>
            <w:pict>
              <v:rect id="shape_0" ID="Text Box 2" path="m0,0l-2147483645,0l-2147483645,-2147483646l0,-2147483646xe" fillcolor="white" stroked="t" o:allowincell="f" style="position:absolute;margin-left:-11.2pt;margin-top:0.05pt;width:562.9pt;height:63.45pt;mso-wrap-style:square;v-text-anchor:top;mso-position-horizontal-relative:margin">
                <v:fill o:detectmouseclick="t" type="solid" color2="black"/>
                <v:stroke color="black" weight="9360" joinstyle="miter" endcap="flat"/>
                <v:textbox>
                  <w:txbxContent>
                    <w:p>
                      <w:pPr>
                        <w:pStyle w:val="FrameContents"/>
                        <w:rPr>
                          <w:sz w:val="20"/>
                          <w:szCs w:val="20"/>
                        </w:rPr>
                      </w:pPr>
                      <w:r>
                        <w:rPr>
                          <w:color w:val="000000"/>
                          <w:sz w:val="20"/>
                          <w:szCs w:val="20"/>
                        </w:rPr>
                        <w:t xml:space="preserve">Company Name: </w:t>
                      </w:r>
                      <w:r>
                        <w:rPr>
                          <w:b/>
                          <w:bCs/>
                          <w:color w:val="000000"/>
                          <w:sz w:val="20"/>
                          <w:szCs w:val="20"/>
                        </w:rPr>
                        <w:t xml:space="preserve">Nike Inc                                                                                                 </w:t>
                      </w:r>
                      <w:r>
                        <w:rPr>
                          <w:color w:val="000000"/>
                          <w:sz w:val="20"/>
                          <w:szCs w:val="20"/>
                        </w:rPr>
                        <w:t xml:space="preserve">Ticker: </w:t>
                      </w:r>
                      <w:r>
                        <w:rPr>
                          <w:b/>
                          <w:bCs/>
                          <w:color w:val="000000"/>
                          <w:sz w:val="20"/>
                          <w:szCs w:val="20"/>
                        </w:rPr>
                        <w:t>NKE</w:t>
                      </w:r>
                    </w:p>
                    <w:p>
                      <w:pPr>
                        <w:pStyle w:val="FrameContents"/>
                        <w:rPr>
                          <w:sz w:val="20"/>
                          <w:szCs w:val="20"/>
                        </w:rPr>
                      </w:pPr>
                      <w:r>
                        <w:rPr>
                          <w:color w:val="000000"/>
                          <w:sz w:val="20"/>
                          <w:szCs w:val="20"/>
                        </w:rPr>
                        <w:t>Current Share Price:  $99.80</w:t>
                      </w:r>
                    </w:p>
                    <w:p>
                      <w:pPr>
                        <w:pStyle w:val="FrameContents"/>
                        <w:rPr>
                          <w:sz w:val="20"/>
                          <w:szCs w:val="20"/>
                        </w:rPr>
                      </w:pPr>
                      <w:r>
                        <w:rPr>
                          <w:color w:val="000000"/>
                          <w:sz w:val="20"/>
                          <w:szCs w:val="20"/>
                        </w:rPr>
                        <w:t xml:space="preserve">Upside: $170  / + 70.34%    Downside: $85 / - 14.83%                       </w:t>
                      </w:r>
                    </w:p>
                    <w:p>
                      <w:pPr>
                        <w:pStyle w:val="FrameContents"/>
                        <w:spacing w:before="0" w:after="160"/>
                        <w:rPr>
                          <w:sz w:val="20"/>
                          <w:szCs w:val="20"/>
                        </w:rPr>
                      </w:pPr>
                      <w:r>
                        <w:rPr>
                          <w:color w:val="000000"/>
                          <w:sz w:val="16"/>
                          <w:szCs w:val="16"/>
                        </w:rPr>
                        <w:t>Upside/Downside to current share price: ((Forecasted Price – Current Price)/Current Price)</w:t>
                      </w:r>
                    </w:p>
                  </w:txbxContent>
                </v:textbox>
                <w10:wrap type="square"/>
              </v:rect>
            </w:pict>
          </mc:Fallback>
        </mc:AlternateContent>
      </w:r>
      <w:r>
        <w:rPr>
          <w:noProof/>
        </w:rPr>
        <mc:AlternateContent>
          <mc:Choice Requires="wps">
            <w:drawing>
              <wp:anchor distT="40005" distB="66675" distL="109220" distR="123825" simplePos="0" relativeHeight="10" behindDoc="0" locked="0" layoutInCell="0" allowOverlap="1" wp14:anchorId="32DEBACD" wp14:editId="25B11F72">
                <wp:simplePos x="0" y="0"/>
                <wp:positionH relativeFrom="margin">
                  <wp:posOffset>2788285</wp:posOffset>
                </wp:positionH>
                <wp:positionV relativeFrom="paragraph">
                  <wp:posOffset>806450</wp:posOffset>
                </wp:positionV>
                <wp:extent cx="4218940" cy="994410"/>
                <wp:effectExtent l="5080" t="5080" r="5080" b="5080"/>
                <wp:wrapSquare wrapText="bothSides"/>
                <wp:docPr id="9" name="Text Box 2"/>
                <wp:cNvGraphicFramePr/>
                <a:graphic xmlns:a="http://schemas.openxmlformats.org/drawingml/2006/main">
                  <a:graphicData uri="http://schemas.microsoft.com/office/word/2010/wordprocessingShape">
                    <wps:wsp>
                      <wps:cNvSpPr/>
                      <wps:spPr>
                        <a:xfrm>
                          <a:off x="0" y="0"/>
                          <a:ext cx="4218840" cy="9943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6470BDC9" w14:textId="77777777" w:rsidR="000A5DB3" w:rsidRDefault="00000000">
                            <w:pPr>
                              <w:pStyle w:val="FrameContents"/>
                              <w:rPr>
                                <w:b/>
                                <w:bCs/>
                              </w:rPr>
                            </w:pPr>
                            <w:r>
                              <w:rPr>
                                <w:b/>
                                <w:bCs/>
                                <w:color w:val="000000"/>
                              </w:rPr>
                              <w:t>Investment thesis:</w:t>
                            </w:r>
                          </w:p>
                          <w:p w14:paraId="542DBCD5" w14:textId="77777777" w:rsidR="000A5DB3" w:rsidRDefault="00000000">
                            <w:pPr>
                              <w:pStyle w:val="FrameContents"/>
                              <w:rPr>
                                <w:b/>
                                <w:bCs/>
                              </w:rPr>
                            </w:pPr>
                            <w:r>
                              <w:rPr>
                                <w:rFonts w:ascii="Verdana" w:hAnsi="Verdana"/>
                                <w:b/>
                                <w:bCs/>
                                <w:color w:val="000000"/>
                                <w:sz w:val="16"/>
                                <w:szCs w:val="16"/>
                              </w:rPr>
                              <w:t xml:space="preserve">Nike </w:t>
                            </w:r>
                            <w:proofErr w:type="spellStart"/>
                            <w:r>
                              <w:rPr>
                                <w:rFonts w:ascii="Verdana" w:hAnsi="Verdana"/>
                                <w:b/>
                                <w:bCs/>
                                <w:color w:val="000000"/>
                                <w:sz w:val="16"/>
                                <w:szCs w:val="16"/>
                              </w:rPr>
                              <w:t>inc</w:t>
                            </w:r>
                            <w:proofErr w:type="spellEnd"/>
                            <w:r>
                              <w:rPr>
                                <w:rFonts w:ascii="Verdana" w:hAnsi="Verdana"/>
                                <w:b/>
                                <w:bCs/>
                                <w:color w:val="000000"/>
                                <w:sz w:val="16"/>
                                <w:szCs w:val="16"/>
                              </w:rPr>
                              <w:t>,</w:t>
                            </w:r>
                            <w:r>
                              <w:rPr>
                                <w:rFonts w:ascii="Verdana" w:hAnsi="Verdana"/>
                                <w:bCs/>
                                <w:color w:val="000000"/>
                                <w:sz w:val="16"/>
                                <w:szCs w:val="16"/>
                              </w:rPr>
                              <w:t xml:space="preserve"> A long standing established clothing brand recognized globally demonstrating consistent year on year revenue growth, profits, </w:t>
                            </w:r>
                            <w:proofErr w:type="gramStart"/>
                            <w:r>
                              <w:rPr>
                                <w:rFonts w:ascii="Verdana" w:hAnsi="Verdana"/>
                                <w:bCs/>
                                <w:color w:val="000000"/>
                                <w:sz w:val="16"/>
                                <w:szCs w:val="16"/>
                              </w:rPr>
                              <w:t>innovation</w:t>
                            </w:r>
                            <w:proofErr w:type="gramEnd"/>
                            <w:r>
                              <w:rPr>
                                <w:rFonts w:ascii="Verdana" w:hAnsi="Verdana"/>
                                <w:bCs/>
                                <w:color w:val="000000"/>
                                <w:sz w:val="16"/>
                                <w:szCs w:val="16"/>
                              </w:rPr>
                              <w:t xml:space="preserve"> and performance.</w:t>
                            </w:r>
                            <w:r>
                              <w:rPr>
                                <w:b/>
                                <w:bCs/>
                                <w:color w:val="000000"/>
                                <w:sz w:val="16"/>
                                <w:szCs w:val="16"/>
                              </w:rPr>
                              <w:br/>
                            </w:r>
                            <w:r>
                              <w:rPr>
                                <w:rFonts w:ascii="Verdana" w:hAnsi="Verdana"/>
                                <w:bCs/>
                                <w:color w:val="000000"/>
                                <w:sz w:val="16"/>
                                <w:szCs w:val="16"/>
                              </w:rPr>
                              <w:t>Stable continuation of consistency is anticipated with high probability.</w:t>
                            </w:r>
                            <w:r>
                              <w:rPr>
                                <w:b/>
                                <w:bCs/>
                                <w:color w:val="000000"/>
                              </w:rPr>
                              <w:br/>
                            </w:r>
                          </w:p>
                          <w:p w14:paraId="79B21809" w14:textId="77777777" w:rsidR="000A5DB3" w:rsidRDefault="000A5DB3">
                            <w:pPr>
                              <w:pStyle w:val="FrameContents"/>
                              <w:rPr>
                                <w:b/>
                                <w:bCs/>
                                <w:color w:val="000000"/>
                              </w:rPr>
                            </w:pPr>
                          </w:p>
                          <w:p w14:paraId="4050F73F" w14:textId="77777777" w:rsidR="000A5DB3" w:rsidRDefault="000A5DB3">
                            <w:pPr>
                              <w:pStyle w:val="FrameContents"/>
                              <w:rPr>
                                <w:color w:val="000000"/>
                              </w:rPr>
                            </w:pPr>
                          </w:p>
                          <w:p w14:paraId="7D2A0DF7" w14:textId="77777777" w:rsidR="000A5DB3" w:rsidRDefault="000A5DB3">
                            <w:pPr>
                              <w:pStyle w:val="FrameContents"/>
                            </w:pPr>
                          </w:p>
                        </w:txbxContent>
                      </wps:txbx>
                      <wps:bodyPr anchor="t">
                        <a:noAutofit/>
                      </wps:bodyPr>
                    </wps:wsp>
                  </a:graphicData>
                </a:graphic>
              </wp:anchor>
            </w:drawing>
          </mc:Choice>
          <mc:Fallback>
            <w:pict>
              <v:rect id="shape_0" ID="Text Box 2" path="m0,0l-2147483645,0l-2147483645,-2147483646l0,-2147483646xe" fillcolor="white" stroked="t" o:allowincell="f" style="position:absolute;margin-left:219.55pt;margin-top:63.5pt;width:332.15pt;height:78.25pt;mso-wrap-style:square;v-text-anchor:top;mso-position-horizontal-relative:margin">
                <v:fill o:detectmouseclick="t" type="solid" color2="black"/>
                <v:stroke color="black" weight="9360" joinstyle="miter" endcap="flat"/>
                <v:textbox>
                  <w:txbxContent>
                    <w:p>
                      <w:pPr>
                        <w:pStyle w:val="FrameContents"/>
                        <w:rPr>
                          <w:b/>
                          <w:bCs/>
                        </w:rPr>
                      </w:pPr>
                      <w:r>
                        <w:rPr>
                          <w:b/>
                          <w:bCs/>
                          <w:color w:val="000000"/>
                        </w:rPr>
                        <w:t>Investment thesis:</w:t>
                      </w:r>
                    </w:p>
                    <w:p>
                      <w:pPr>
                        <w:pStyle w:val="FrameContents"/>
                        <w:rPr>
                          <w:b/>
                          <w:bCs/>
                        </w:rPr>
                      </w:pPr>
                      <w:r>
                        <w:rPr>
                          <w:rFonts w:ascii="Verdana" w:hAnsi="Verdana"/>
                          <w:b/>
                          <w:bCs/>
                          <w:i w:val="false"/>
                          <w:caps w:val="false"/>
                          <w:smallCaps w:val="false"/>
                          <w:color w:val="000000"/>
                          <w:spacing w:val="0"/>
                          <w:sz w:val="16"/>
                          <w:szCs w:val="16"/>
                        </w:rPr>
                        <w:t>Nike inc,</w:t>
                      </w:r>
                      <w:r>
                        <w:rPr>
                          <w:rFonts w:ascii="Verdana" w:hAnsi="Verdana"/>
                          <w:b w:val="false"/>
                          <w:bCs/>
                          <w:i w:val="false"/>
                          <w:caps w:val="false"/>
                          <w:smallCaps w:val="false"/>
                          <w:color w:val="000000"/>
                          <w:spacing w:val="0"/>
                          <w:sz w:val="16"/>
                          <w:szCs w:val="16"/>
                        </w:rPr>
                        <w:t xml:space="preserve"> A long standing established clothing brand recognized globally demonstrating consistent year on year revenue growth, profits, innovation and performance.</w:t>
                      </w:r>
                      <w:r>
                        <w:rPr>
                          <w:b/>
                          <w:bCs/>
                          <w:color w:val="000000"/>
                          <w:sz w:val="16"/>
                          <w:szCs w:val="16"/>
                        </w:rPr>
                        <w:br/>
                      </w:r>
                      <w:r>
                        <w:rPr>
                          <w:rFonts w:ascii="Verdana" w:hAnsi="Verdana"/>
                          <w:b w:val="false"/>
                          <w:bCs/>
                          <w:i w:val="false"/>
                          <w:caps w:val="false"/>
                          <w:smallCaps w:val="false"/>
                          <w:color w:val="000000"/>
                          <w:spacing w:val="0"/>
                          <w:sz w:val="16"/>
                          <w:szCs w:val="16"/>
                        </w:rPr>
                        <w:t>Stable continuation of consistency is anticipated with high probability.</w:t>
                      </w:r>
                      <w:r>
                        <w:rPr>
                          <w:b/>
                          <w:bCs/>
                          <w:color w:val="000000"/>
                        </w:rPr>
                        <w:br/>
                      </w:r>
                    </w:p>
                    <w:p>
                      <w:pPr>
                        <w:pStyle w:val="FrameContents"/>
                        <w:rPr>
                          <w:b/>
                          <w:bCs/>
                          <w:color w:val="000000"/>
                        </w:rPr>
                      </w:pPr>
                      <w:r>
                        <w:rPr>
                          <w:b/>
                          <w:bCs/>
                          <w:color w:val="000000"/>
                        </w:rPr>
                      </w:r>
                    </w:p>
                    <w:p>
                      <w:pPr>
                        <w:pStyle w:val="FrameContents"/>
                        <w:rPr>
                          <w:color w:val="000000"/>
                        </w:rPr>
                      </w:pPr>
                      <w:r>
                        <w:rPr>
                          <w:color w:val="000000"/>
                        </w:rPr>
                      </w:r>
                    </w:p>
                    <w:p>
                      <w:pPr>
                        <w:pStyle w:val="FrameContents"/>
                        <w:spacing w:before="0" w:after="160"/>
                        <w:rPr/>
                      </w:pPr>
                      <w:r>
                        <w:rPr/>
                      </w:r>
                    </w:p>
                  </w:txbxContent>
                </v:textbox>
                <w10:wrap type="square"/>
              </v:rect>
            </w:pict>
          </mc:Fallback>
        </mc:AlternateContent>
      </w:r>
      <w:r>
        <w:rPr>
          <w:noProof/>
        </w:rPr>
        <w:drawing>
          <wp:anchor distT="0" distB="0" distL="0" distR="0" simplePos="0" relativeHeight="12" behindDoc="0" locked="0" layoutInCell="0" allowOverlap="1" wp14:anchorId="171016A5" wp14:editId="5F4178F1">
            <wp:simplePos x="0" y="0"/>
            <wp:positionH relativeFrom="column">
              <wp:posOffset>-250825</wp:posOffset>
            </wp:positionH>
            <wp:positionV relativeFrom="paragraph">
              <wp:posOffset>5962015</wp:posOffset>
            </wp:positionV>
            <wp:extent cx="2881630" cy="1764030"/>
            <wp:effectExtent l="0" t="0" r="0" b="0"/>
            <wp:wrapSquare wrapText="largest"/>
            <wp:docPr id="1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
                    <pic:cNvPicPr>
                      <a:picLocks noChangeAspect="1" noChangeArrowheads="1"/>
                    </pic:cNvPicPr>
                  </pic:nvPicPr>
                  <pic:blipFill>
                    <a:blip r:embed="rId5"/>
                    <a:stretch>
                      <a:fillRect/>
                    </a:stretch>
                  </pic:blipFill>
                  <pic:spPr bwMode="auto">
                    <a:xfrm>
                      <a:off x="0" y="0"/>
                      <a:ext cx="2881630" cy="1764030"/>
                    </a:xfrm>
                    <a:prstGeom prst="rect">
                      <a:avLst/>
                    </a:prstGeom>
                  </pic:spPr>
                </pic:pic>
              </a:graphicData>
            </a:graphic>
          </wp:anchor>
        </w:drawing>
      </w:r>
      <w:r>
        <w:rPr>
          <w:noProof/>
        </w:rPr>
        <w:drawing>
          <wp:anchor distT="0" distB="0" distL="0" distR="0" simplePos="0" relativeHeight="13" behindDoc="0" locked="0" layoutInCell="0" allowOverlap="1" wp14:anchorId="6DC99232" wp14:editId="68FA8C30">
            <wp:simplePos x="0" y="0"/>
            <wp:positionH relativeFrom="column">
              <wp:posOffset>-264795</wp:posOffset>
            </wp:positionH>
            <wp:positionV relativeFrom="paragraph">
              <wp:posOffset>2438400</wp:posOffset>
            </wp:positionV>
            <wp:extent cx="2936240" cy="1766570"/>
            <wp:effectExtent l="0" t="0" r="0" b="0"/>
            <wp:wrapSquare wrapText="largest"/>
            <wp:docPr id="1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
                    <pic:cNvPicPr>
                      <a:picLocks noChangeAspect="1" noChangeArrowheads="1"/>
                    </pic:cNvPicPr>
                  </pic:nvPicPr>
                  <pic:blipFill>
                    <a:blip r:embed="rId6"/>
                    <a:stretch>
                      <a:fillRect/>
                    </a:stretch>
                  </pic:blipFill>
                  <pic:spPr bwMode="auto">
                    <a:xfrm>
                      <a:off x="0" y="0"/>
                      <a:ext cx="2936240" cy="1766570"/>
                    </a:xfrm>
                    <a:prstGeom prst="rect">
                      <a:avLst/>
                    </a:prstGeom>
                  </pic:spPr>
                </pic:pic>
              </a:graphicData>
            </a:graphic>
          </wp:anchor>
        </w:drawing>
      </w:r>
      <w:r>
        <w:rPr>
          <w:noProof/>
        </w:rPr>
        <w:drawing>
          <wp:anchor distT="0" distB="0" distL="0" distR="0" simplePos="0" relativeHeight="14" behindDoc="0" locked="0" layoutInCell="0" allowOverlap="1" wp14:anchorId="6EE0E95F" wp14:editId="4565DCD8">
            <wp:simplePos x="0" y="0"/>
            <wp:positionH relativeFrom="column">
              <wp:posOffset>-201295</wp:posOffset>
            </wp:positionH>
            <wp:positionV relativeFrom="paragraph">
              <wp:posOffset>807085</wp:posOffset>
            </wp:positionV>
            <wp:extent cx="2800985" cy="1646555"/>
            <wp:effectExtent l="0" t="0" r="0" b="0"/>
            <wp:wrapSquare wrapText="largest"/>
            <wp:docPr id="13"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3"/>
                    <pic:cNvPicPr>
                      <a:picLocks noChangeAspect="1" noChangeArrowheads="1"/>
                    </pic:cNvPicPr>
                  </pic:nvPicPr>
                  <pic:blipFill>
                    <a:blip r:embed="rId7"/>
                    <a:stretch>
                      <a:fillRect/>
                    </a:stretch>
                  </pic:blipFill>
                  <pic:spPr bwMode="auto">
                    <a:xfrm>
                      <a:off x="0" y="0"/>
                      <a:ext cx="2800985" cy="1646555"/>
                    </a:xfrm>
                    <a:prstGeom prst="rect">
                      <a:avLst/>
                    </a:prstGeom>
                  </pic:spPr>
                </pic:pic>
              </a:graphicData>
            </a:graphic>
          </wp:anchor>
        </w:drawing>
      </w:r>
      <w:r>
        <w:rPr>
          <w:noProof/>
        </w:rPr>
        <w:drawing>
          <wp:anchor distT="0" distB="0" distL="0" distR="0" simplePos="0" relativeHeight="15" behindDoc="0" locked="0" layoutInCell="0" allowOverlap="1" wp14:anchorId="6FD623B5" wp14:editId="0524BD69">
            <wp:simplePos x="0" y="0"/>
            <wp:positionH relativeFrom="column">
              <wp:posOffset>-173990</wp:posOffset>
            </wp:positionH>
            <wp:positionV relativeFrom="paragraph">
              <wp:posOffset>4145280</wp:posOffset>
            </wp:positionV>
            <wp:extent cx="2845435" cy="1817370"/>
            <wp:effectExtent l="0" t="0" r="0" b="0"/>
            <wp:wrapSquare wrapText="largest"/>
            <wp:docPr id="14"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
                    <pic:cNvPicPr>
                      <a:picLocks noChangeAspect="1" noChangeArrowheads="1"/>
                    </pic:cNvPicPr>
                  </pic:nvPicPr>
                  <pic:blipFill>
                    <a:blip r:embed="rId8"/>
                    <a:stretch>
                      <a:fillRect/>
                    </a:stretch>
                  </pic:blipFill>
                  <pic:spPr bwMode="auto">
                    <a:xfrm>
                      <a:off x="0" y="0"/>
                      <a:ext cx="2845435" cy="1817370"/>
                    </a:xfrm>
                    <a:prstGeom prst="rect">
                      <a:avLst/>
                    </a:prstGeom>
                  </pic:spPr>
                </pic:pic>
              </a:graphicData>
            </a:graphic>
          </wp:anchor>
        </w:drawing>
      </w:r>
    </w:p>
    <w:sectPr w:rsidR="000A5DB3">
      <w:pgSz w:w="12240" w:h="15840"/>
      <w:pgMar w:top="720" w:right="720" w:bottom="720" w:left="720" w:header="0" w:footer="0" w:gutter="0"/>
      <w:pgBorders>
        <w:top w:val="single" w:sz="4" w:space="12" w:color="000000"/>
        <w:left w:val="single" w:sz="4" w:space="12" w:color="000000"/>
        <w:bottom w:val="single" w:sz="4" w:space="12" w:color="000000"/>
        <w:right w:val="single" w:sz="4" w:space="12" w:color="000000"/>
      </w:pgBorders>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095EBE"/>
    <w:multiLevelType w:val="multilevel"/>
    <w:tmpl w:val="BD7CF09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7BAB1148"/>
    <w:multiLevelType w:val="multilevel"/>
    <w:tmpl w:val="6D2A7EF6"/>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16cid:durableId="1985237667">
    <w:abstractNumId w:val="0"/>
  </w:num>
  <w:num w:numId="2" w16cid:durableId="1456356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DB3"/>
    <w:rsid w:val="000A5DB3"/>
    <w:rsid w:val="002E1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D5C4B"/>
  <w15:docId w15:val="{16B2F890-27D3-42D7-9BE4-A002094EE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ahoma"/>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qFormat/>
    <w:rPr>
      <w:rFonts w:ascii="Calibri Light" w:eastAsia="Calibri" w:hAnsi="Calibri Light" w:cs="Tahoma"/>
      <w:spacing w:val="-10"/>
      <w:kern w:val="2"/>
      <w:sz w:val="56"/>
      <w:szCs w:val="56"/>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qFormat/>
    <w:pPr>
      <w:ind w:left="720"/>
      <w:contextualSpacing/>
    </w:pPr>
  </w:style>
  <w:style w:type="paragraph" w:styleId="Title">
    <w:name w:val="Title"/>
    <w:basedOn w:val="Normal"/>
    <w:next w:val="Normal"/>
    <w:link w:val="TitleChar"/>
    <w:uiPriority w:val="10"/>
    <w:qFormat/>
    <w:pPr>
      <w:spacing w:after="0" w:line="240" w:lineRule="auto"/>
      <w:contextualSpacing/>
    </w:pPr>
    <w:rPr>
      <w:rFonts w:ascii="Calibri Light" w:hAnsi="Calibri Light"/>
      <w:spacing w:val="-10"/>
      <w:kern w:val="2"/>
      <w:sz w:val="56"/>
      <w:szCs w:val="56"/>
    </w:r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95</Words>
  <Characters>547</Characters>
  <Application>Microsoft Office Word</Application>
  <DocSecurity>0</DocSecurity>
  <Lines>4</Lines>
  <Paragraphs>1</Paragraphs>
  <ScaleCrop>false</ScaleCrop>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Waqas Albert</dc:creator>
  <dc:description/>
  <cp:lastModifiedBy>Waqas Albert</cp:lastModifiedBy>
  <cp:revision>2</cp:revision>
  <dcterms:created xsi:type="dcterms:W3CDTF">2024-04-12T11:11:00Z</dcterms:created>
  <dcterms:modified xsi:type="dcterms:W3CDTF">2024-04-12T11:11:00Z</dcterms:modified>
  <dc:language>en-GB</dc:language>
</cp:coreProperties>
</file>